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BEA60" w14:textId="6C3856BD" w:rsidR="00FF3033" w:rsidRPr="005842E9" w:rsidRDefault="00B46FA2" w:rsidP="005842E9">
      <w:pPr>
        <w:jc w:val="center"/>
        <w:rPr>
          <w:sz w:val="32"/>
          <w:szCs w:val="32"/>
        </w:rPr>
      </w:pPr>
      <w:r>
        <w:rPr>
          <w:sz w:val="32"/>
          <w:szCs w:val="32"/>
        </w:rPr>
        <w:t>Ex</w:t>
      </w:r>
      <w:r w:rsidR="00020801" w:rsidRPr="005842E9">
        <w:rPr>
          <w:sz w:val="32"/>
          <w:szCs w:val="32"/>
        </w:rPr>
        <w:t>ternal Scruti</w:t>
      </w:r>
      <w:r w:rsidR="009666C9">
        <w:rPr>
          <w:sz w:val="32"/>
          <w:szCs w:val="32"/>
        </w:rPr>
        <w:t>ny Committee Work Programme 2019</w:t>
      </w:r>
      <w:r w:rsidR="0012008E">
        <w:rPr>
          <w:sz w:val="32"/>
          <w:szCs w:val="32"/>
        </w:rPr>
        <w:t>/</w:t>
      </w:r>
      <w:r w:rsidR="009666C9">
        <w:rPr>
          <w:sz w:val="32"/>
          <w:szCs w:val="32"/>
        </w:rPr>
        <w:t>20</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669" w:type="dxa"/>
        <w:tblInd w:w="-714" w:type="dxa"/>
        <w:tblLook w:val="04A0" w:firstRow="1" w:lastRow="0" w:firstColumn="1" w:lastColumn="0" w:noHBand="0" w:noVBand="1"/>
      </w:tblPr>
      <w:tblGrid>
        <w:gridCol w:w="1711"/>
        <w:gridCol w:w="4712"/>
        <w:gridCol w:w="1417"/>
        <w:gridCol w:w="2764"/>
        <w:gridCol w:w="1324"/>
        <w:gridCol w:w="2364"/>
        <w:gridCol w:w="1377"/>
      </w:tblGrid>
      <w:tr w:rsidR="00D05245" w14:paraId="6105E818" w14:textId="77777777" w:rsidTr="00B6223B">
        <w:trPr>
          <w:tblHeader/>
        </w:trPr>
        <w:tc>
          <w:tcPr>
            <w:tcW w:w="1711"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4712"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417"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324"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64"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377"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980EE0" w:rsidRPr="00980EE0" w14:paraId="1EFDE024" w14:textId="77777777" w:rsidTr="00B6223B">
        <w:trPr>
          <w:tblHeader/>
        </w:trPr>
        <w:tc>
          <w:tcPr>
            <w:tcW w:w="15669" w:type="dxa"/>
            <w:gridSpan w:val="7"/>
            <w:shd w:val="clear" w:color="auto" w:fill="auto"/>
          </w:tcPr>
          <w:p w14:paraId="7A3DC82C" w14:textId="77777777" w:rsidR="00980EE0" w:rsidRDefault="00980EE0" w:rsidP="005F70B6">
            <w:pPr>
              <w:rPr>
                <w:szCs w:val="24"/>
              </w:rPr>
            </w:pPr>
          </w:p>
          <w:p w14:paraId="2AC3ADFA" w14:textId="0B23B0B9" w:rsidR="00980EE0" w:rsidRPr="00980EE0" w:rsidRDefault="00D658CD" w:rsidP="00980EE0">
            <w:pPr>
              <w:jc w:val="center"/>
              <w:rPr>
                <w:b/>
                <w:szCs w:val="24"/>
              </w:rPr>
            </w:pPr>
            <w:r>
              <w:rPr>
                <w:b/>
                <w:szCs w:val="24"/>
              </w:rPr>
              <w:t xml:space="preserve">low carbon </w:t>
            </w:r>
            <w:r w:rsidR="00980EE0" w:rsidRPr="00980EE0">
              <w:rPr>
                <w:b/>
                <w:szCs w:val="24"/>
              </w:rPr>
              <w:t>energy theme throughout 2019/20</w:t>
            </w:r>
          </w:p>
          <w:p w14:paraId="2ED791B7" w14:textId="2F354C7A" w:rsidR="00980EE0" w:rsidRPr="00980EE0" w:rsidRDefault="00980EE0" w:rsidP="005F70B6">
            <w:pPr>
              <w:rPr>
                <w:szCs w:val="24"/>
              </w:rPr>
            </w:pPr>
          </w:p>
        </w:tc>
      </w:tr>
      <w:tr w:rsidR="00AE7E3A" w:rsidRPr="00AE7E3A" w14:paraId="50727C5F" w14:textId="77777777" w:rsidTr="00B6223B">
        <w:trPr>
          <w:trHeight w:val="510"/>
        </w:trPr>
        <w:tc>
          <w:tcPr>
            <w:tcW w:w="1711" w:type="dxa"/>
          </w:tcPr>
          <w:p w14:paraId="6B6D2711" w14:textId="77777777" w:rsidR="00E7251A" w:rsidRPr="00AE7E3A" w:rsidRDefault="00E7251A" w:rsidP="002A2802">
            <w:pPr>
              <w:rPr>
                <w:szCs w:val="24"/>
              </w:rPr>
            </w:pPr>
            <w:r w:rsidRPr="00AE7E3A">
              <w:rPr>
                <w:szCs w:val="24"/>
              </w:rPr>
              <w:t>Electricity North West</w:t>
            </w:r>
          </w:p>
          <w:p w14:paraId="0F636D7D" w14:textId="467AADDF" w:rsidR="00AE7E3A" w:rsidRPr="00AE7E3A" w:rsidRDefault="00AE7E3A" w:rsidP="002A2802">
            <w:pPr>
              <w:rPr>
                <w:szCs w:val="24"/>
              </w:rPr>
            </w:pPr>
          </w:p>
        </w:tc>
        <w:tc>
          <w:tcPr>
            <w:tcW w:w="4712" w:type="dxa"/>
          </w:tcPr>
          <w:p w14:paraId="746BFB4C" w14:textId="77777777" w:rsidR="00E7251A" w:rsidRPr="00AE7E3A" w:rsidRDefault="00E7251A" w:rsidP="002A2802">
            <w:pPr>
              <w:rPr>
                <w:szCs w:val="24"/>
              </w:rPr>
            </w:pPr>
            <w:r w:rsidRPr="00AE7E3A">
              <w:rPr>
                <w:szCs w:val="24"/>
              </w:rPr>
              <w:t>Leading the Way to Zero Carbon</w:t>
            </w:r>
          </w:p>
        </w:tc>
        <w:tc>
          <w:tcPr>
            <w:tcW w:w="1417" w:type="dxa"/>
          </w:tcPr>
          <w:p w14:paraId="6D9476DC" w14:textId="77777777" w:rsidR="00E7251A" w:rsidRPr="00AE7E3A" w:rsidRDefault="00E7251A" w:rsidP="002A2802">
            <w:pPr>
              <w:rPr>
                <w:szCs w:val="24"/>
              </w:rPr>
            </w:pPr>
            <w:r w:rsidRPr="00AE7E3A">
              <w:rPr>
                <w:szCs w:val="24"/>
              </w:rPr>
              <w:t>Committee</w:t>
            </w:r>
          </w:p>
        </w:tc>
        <w:tc>
          <w:tcPr>
            <w:tcW w:w="2764" w:type="dxa"/>
          </w:tcPr>
          <w:p w14:paraId="73A0D79F" w14:textId="3043E999" w:rsidR="00E7251A" w:rsidRPr="00AE7E3A" w:rsidRDefault="00E7251A" w:rsidP="002A2802">
            <w:pPr>
              <w:rPr>
                <w:szCs w:val="24"/>
              </w:rPr>
            </w:pPr>
            <w:r w:rsidRPr="00AE7E3A">
              <w:rPr>
                <w:szCs w:val="24"/>
              </w:rPr>
              <w:t xml:space="preserve">Helen Norris, </w:t>
            </w:r>
            <w:r w:rsidR="0038551B">
              <w:rPr>
                <w:szCs w:val="24"/>
              </w:rPr>
              <w:t>Helen Boyle</w:t>
            </w:r>
            <w:r w:rsidRPr="00AE7E3A">
              <w:rPr>
                <w:szCs w:val="24"/>
              </w:rPr>
              <w:t xml:space="preserve">, </w:t>
            </w:r>
            <w:r w:rsidR="0038551B">
              <w:rPr>
                <w:szCs w:val="24"/>
              </w:rPr>
              <w:t xml:space="preserve">and Mike Taylor, </w:t>
            </w:r>
            <w:r w:rsidRPr="00AE7E3A">
              <w:rPr>
                <w:szCs w:val="24"/>
              </w:rPr>
              <w:t>ENW</w:t>
            </w:r>
          </w:p>
          <w:p w14:paraId="7C7CD8C8" w14:textId="77777777" w:rsidR="00E7251A" w:rsidRPr="00AE7E3A" w:rsidRDefault="00E7251A" w:rsidP="002A2802">
            <w:pPr>
              <w:rPr>
                <w:szCs w:val="24"/>
              </w:rPr>
            </w:pPr>
          </w:p>
        </w:tc>
        <w:tc>
          <w:tcPr>
            <w:tcW w:w="1324" w:type="dxa"/>
          </w:tcPr>
          <w:p w14:paraId="5C9571C2" w14:textId="31312C3B" w:rsidR="00E7251A" w:rsidRPr="00AE7E3A" w:rsidRDefault="00AE7E3A" w:rsidP="002A2802">
            <w:pPr>
              <w:rPr>
                <w:szCs w:val="24"/>
              </w:rPr>
            </w:pPr>
            <w:r w:rsidRPr="00AE7E3A">
              <w:rPr>
                <w:szCs w:val="24"/>
              </w:rPr>
              <w:t>16 July 2019</w:t>
            </w:r>
          </w:p>
        </w:tc>
        <w:tc>
          <w:tcPr>
            <w:tcW w:w="2364" w:type="dxa"/>
          </w:tcPr>
          <w:p w14:paraId="6C39F81D" w14:textId="77777777" w:rsidR="00E7251A" w:rsidRPr="00AE7E3A" w:rsidRDefault="00E7251A" w:rsidP="002A2802">
            <w:pPr>
              <w:rPr>
                <w:szCs w:val="24"/>
              </w:rPr>
            </w:pPr>
          </w:p>
        </w:tc>
        <w:tc>
          <w:tcPr>
            <w:tcW w:w="1377" w:type="dxa"/>
          </w:tcPr>
          <w:p w14:paraId="06F06C2C" w14:textId="77777777" w:rsidR="00E7251A" w:rsidRPr="00AE7E3A" w:rsidRDefault="00E7251A" w:rsidP="002A2802">
            <w:pPr>
              <w:rPr>
                <w:szCs w:val="24"/>
              </w:rPr>
            </w:pPr>
          </w:p>
        </w:tc>
      </w:tr>
      <w:tr w:rsidR="006A3BE2" w14:paraId="79295693" w14:textId="77777777" w:rsidTr="00B6223B">
        <w:trPr>
          <w:trHeight w:val="510"/>
        </w:trPr>
        <w:tc>
          <w:tcPr>
            <w:tcW w:w="1711" w:type="dxa"/>
            <w:shd w:val="clear" w:color="auto" w:fill="D9D9D9" w:themeFill="background1" w:themeFillShade="D9"/>
          </w:tcPr>
          <w:p w14:paraId="1E2072C8" w14:textId="77777777" w:rsidR="006A3BE2" w:rsidRDefault="006A3BE2" w:rsidP="009E4F02">
            <w:pPr>
              <w:rPr>
                <w:szCs w:val="24"/>
              </w:rPr>
            </w:pPr>
          </w:p>
        </w:tc>
        <w:tc>
          <w:tcPr>
            <w:tcW w:w="4712" w:type="dxa"/>
            <w:shd w:val="clear" w:color="auto" w:fill="D9D9D9" w:themeFill="background1" w:themeFillShade="D9"/>
          </w:tcPr>
          <w:p w14:paraId="5DE027E3" w14:textId="77777777" w:rsidR="006A3BE2" w:rsidRDefault="006A3BE2" w:rsidP="009E4F02">
            <w:pPr>
              <w:rPr>
                <w:szCs w:val="24"/>
              </w:rPr>
            </w:pPr>
          </w:p>
        </w:tc>
        <w:tc>
          <w:tcPr>
            <w:tcW w:w="1417" w:type="dxa"/>
            <w:shd w:val="clear" w:color="auto" w:fill="D9D9D9" w:themeFill="background1" w:themeFillShade="D9"/>
          </w:tcPr>
          <w:p w14:paraId="7B67295F" w14:textId="77777777" w:rsidR="006A3BE2" w:rsidRDefault="006A3BE2" w:rsidP="009E4F02">
            <w:pPr>
              <w:rPr>
                <w:szCs w:val="24"/>
              </w:rPr>
            </w:pPr>
          </w:p>
        </w:tc>
        <w:tc>
          <w:tcPr>
            <w:tcW w:w="2764" w:type="dxa"/>
            <w:shd w:val="clear" w:color="auto" w:fill="D9D9D9" w:themeFill="background1" w:themeFillShade="D9"/>
          </w:tcPr>
          <w:p w14:paraId="3FAB0FA8" w14:textId="77777777" w:rsidR="006A3BE2" w:rsidRDefault="006A3BE2" w:rsidP="009E4F02">
            <w:pPr>
              <w:rPr>
                <w:szCs w:val="24"/>
              </w:rPr>
            </w:pPr>
          </w:p>
        </w:tc>
        <w:tc>
          <w:tcPr>
            <w:tcW w:w="1324" w:type="dxa"/>
            <w:shd w:val="clear" w:color="auto" w:fill="D9D9D9" w:themeFill="background1" w:themeFillShade="D9"/>
          </w:tcPr>
          <w:p w14:paraId="20847A79" w14:textId="77777777" w:rsidR="006A3BE2" w:rsidRDefault="006A3BE2" w:rsidP="009E4F02">
            <w:pPr>
              <w:rPr>
                <w:szCs w:val="24"/>
              </w:rPr>
            </w:pPr>
          </w:p>
        </w:tc>
        <w:tc>
          <w:tcPr>
            <w:tcW w:w="2364" w:type="dxa"/>
            <w:shd w:val="clear" w:color="auto" w:fill="D9D9D9" w:themeFill="background1" w:themeFillShade="D9"/>
          </w:tcPr>
          <w:p w14:paraId="155B30A7" w14:textId="77777777" w:rsidR="006A3BE2" w:rsidRPr="00A82144" w:rsidRDefault="006A3BE2" w:rsidP="009E4F02">
            <w:pPr>
              <w:rPr>
                <w:szCs w:val="24"/>
              </w:rPr>
            </w:pPr>
          </w:p>
        </w:tc>
        <w:tc>
          <w:tcPr>
            <w:tcW w:w="1377" w:type="dxa"/>
            <w:shd w:val="clear" w:color="auto" w:fill="D9D9D9" w:themeFill="background1" w:themeFillShade="D9"/>
          </w:tcPr>
          <w:p w14:paraId="66662F16" w14:textId="77777777" w:rsidR="006A3BE2" w:rsidRPr="00A82144" w:rsidRDefault="006A3BE2" w:rsidP="009E4F02">
            <w:pPr>
              <w:rPr>
                <w:szCs w:val="24"/>
              </w:rPr>
            </w:pPr>
          </w:p>
        </w:tc>
      </w:tr>
      <w:tr w:rsidR="00AE7E3A" w:rsidRPr="00AE7E3A" w14:paraId="0F85B4EB" w14:textId="77777777" w:rsidTr="00B6223B">
        <w:trPr>
          <w:trHeight w:val="510"/>
        </w:trPr>
        <w:tc>
          <w:tcPr>
            <w:tcW w:w="1711" w:type="dxa"/>
          </w:tcPr>
          <w:p w14:paraId="6BA9187F" w14:textId="77777777" w:rsidR="00980EE0" w:rsidRPr="00AE7E3A" w:rsidRDefault="00980EE0" w:rsidP="00720A8D">
            <w:pPr>
              <w:rPr>
                <w:szCs w:val="24"/>
              </w:rPr>
            </w:pPr>
            <w:r w:rsidRPr="00AE7E3A">
              <w:rPr>
                <w:szCs w:val="24"/>
              </w:rPr>
              <w:t>Electricity North West</w:t>
            </w:r>
          </w:p>
          <w:p w14:paraId="0F0997B7" w14:textId="5754CF7F" w:rsidR="00980EE0" w:rsidRPr="00AE7E3A" w:rsidRDefault="00980EE0" w:rsidP="00720A8D">
            <w:pPr>
              <w:rPr>
                <w:szCs w:val="24"/>
              </w:rPr>
            </w:pPr>
          </w:p>
        </w:tc>
        <w:tc>
          <w:tcPr>
            <w:tcW w:w="4712" w:type="dxa"/>
          </w:tcPr>
          <w:p w14:paraId="7E0E0871" w14:textId="3507285B" w:rsidR="00980EE0" w:rsidRPr="00AE7E3A" w:rsidRDefault="00980EE0" w:rsidP="00720A8D">
            <w:pPr>
              <w:rPr>
                <w:szCs w:val="24"/>
              </w:rPr>
            </w:pPr>
            <w:r w:rsidRPr="00AE7E3A">
              <w:rPr>
                <w:szCs w:val="24"/>
              </w:rPr>
              <w:t>Vulnerable Customers</w:t>
            </w:r>
            <w:r w:rsidR="00AE7E3A">
              <w:rPr>
                <w:szCs w:val="24"/>
              </w:rPr>
              <w:t xml:space="preserve"> and the priority services register</w:t>
            </w:r>
          </w:p>
        </w:tc>
        <w:tc>
          <w:tcPr>
            <w:tcW w:w="1417" w:type="dxa"/>
          </w:tcPr>
          <w:p w14:paraId="7B66C365" w14:textId="78D2E4F2" w:rsidR="00980EE0" w:rsidRPr="00AE7E3A" w:rsidRDefault="00980EE0" w:rsidP="00720A8D">
            <w:pPr>
              <w:rPr>
                <w:szCs w:val="24"/>
              </w:rPr>
            </w:pPr>
            <w:r w:rsidRPr="00AE7E3A">
              <w:rPr>
                <w:szCs w:val="24"/>
              </w:rPr>
              <w:t>Committee</w:t>
            </w:r>
          </w:p>
        </w:tc>
        <w:tc>
          <w:tcPr>
            <w:tcW w:w="2764" w:type="dxa"/>
          </w:tcPr>
          <w:p w14:paraId="3062ECB5" w14:textId="3B10BF2C" w:rsidR="00980EE0" w:rsidRPr="00AE7E3A" w:rsidRDefault="00980EE0" w:rsidP="00720A8D">
            <w:pPr>
              <w:rPr>
                <w:szCs w:val="24"/>
              </w:rPr>
            </w:pPr>
            <w:r w:rsidRPr="00AE7E3A">
              <w:rPr>
                <w:szCs w:val="24"/>
              </w:rPr>
              <w:t xml:space="preserve">Helen Norris, </w:t>
            </w:r>
            <w:r w:rsidR="001A30BB">
              <w:rPr>
                <w:szCs w:val="24"/>
              </w:rPr>
              <w:t xml:space="preserve">Jo </w:t>
            </w:r>
            <w:proofErr w:type="spellStart"/>
            <w:r w:rsidR="001A30BB">
              <w:rPr>
                <w:szCs w:val="24"/>
              </w:rPr>
              <w:t>Crinson</w:t>
            </w:r>
            <w:proofErr w:type="spellEnd"/>
            <w:r w:rsidR="00E00BC2">
              <w:rPr>
                <w:szCs w:val="24"/>
              </w:rPr>
              <w:t xml:space="preserve"> and Jill Hendry</w:t>
            </w:r>
            <w:r w:rsidR="003970B6" w:rsidRPr="00AE7E3A">
              <w:rPr>
                <w:szCs w:val="24"/>
              </w:rPr>
              <w:t xml:space="preserve">, </w:t>
            </w:r>
            <w:r w:rsidRPr="00AE7E3A">
              <w:rPr>
                <w:szCs w:val="24"/>
              </w:rPr>
              <w:t>ENW</w:t>
            </w:r>
          </w:p>
        </w:tc>
        <w:tc>
          <w:tcPr>
            <w:tcW w:w="1324" w:type="dxa"/>
          </w:tcPr>
          <w:p w14:paraId="5E1FAEB3" w14:textId="0550484C" w:rsidR="00980EE0" w:rsidRPr="00AE7E3A" w:rsidRDefault="00AE7E3A" w:rsidP="009D136D">
            <w:pPr>
              <w:rPr>
                <w:szCs w:val="24"/>
              </w:rPr>
            </w:pPr>
            <w:r w:rsidRPr="00AE7E3A">
              <w:rPr>
                <w:szCs w:val="24"/>
              </w:rPr>
              <w:t>15 October 2019</w:t>
            </w:r>
          </w:p>
        </w:tc>
        <w:tc>
          <w:tcPr>
            <w:tcW w:w="2364" w:type="dxa"/>
          </w:tcPr>
          <w:p w14:paraId="007DE5CB" w14:textId="77777777" w:rsidR="00980EE0" w:rsidRPr="00AE7E3A" w:rsidRDefault="00980EE0" w:rsidP="00A82144">
            <w:pPr>
              <w:rPr>
                <w:szCs w:val="24"/>
              </w:rPr>
            </w:pPr>
          </w:p>
        </w:tc>
        <w:tc>
          <w:tcPr>
            <w:tcW w:w="1377" w:type="dxa"/>
          </w:tcPr>
          <w:p w14:paraId="78E54B46" w14:textId="77777777" w:rsidR="00980EE0" w:rsidRPr="00AE7E3A" w:rsidRDefault="00980EE0" w:rsidP="00720A8D">
            <w:pPr>
              <w:rPr>
                <w:szCs w:val="24"/>
              </w:rPr>
            </w:pPr>
          </w:p>
        </w:tc>
      </w:tr>
      <w:tr w:rsidR="00F87AC0" w:rsidRPr="00F87AC0" w14:paraId="65A8D7E1" w14:textId="77777777" w:rsidTr="00B6223B">
        <w:trPr>
          <w:trHeight w:val="510"/>
        </w:trPr>
        <w:tc>
          <w:tcPr>
            <w:tcW w:w="1711" w:type="dxa"/>
          </w:tcPr>
          <w:p w14:paraId="5220D64D" w14:textId="6F49FA4E" w:rsidR="00980EE0" w:rsidRPr="00F87AC0" w:rsidRDefault="00980EE0" w:rsidP="00720A8D">
            <w:pPr>
              <w:rPr>
                <w:color w:val="FF0000"/>
                <w:szCs w:val="24"/>
              </w:rPr>
            </w:pPr>
            <w:r w:rsidRPr="00D9626B">
              <w:rPr>
                <w:szCs w:val="24"/>
              </w:rPr>
              <w:t>Universal Credit</w:t>
            </w:r>
          </w:p>
        </w:tc>
        <w:tc>
          <w:tcPr>
            <w:tcW w:w="4712" w:type="dxa"/>
          </w:tcPr>
          <w:p w14:paraId="5D4E9F47" w14:textId="77777777" w:rsidR="00980EE0" w:rsidRPr="00D9626B" w:rsidRDefault="00980EE0" w:rsidP="00720A8D">
            <w:pPr>
              <w:rPr>
                <w:szCs w:val="24"/>
              </w:rPr>
            </w:pPr>
            <w:r w:rsidRPr="00D9626B">
              <w:rPr>
                <w:szCs w:val="24"/>
              </w:rPr>
              <w:t>Dealing with people in Lancashire</w:t>
            </w:r>
          </w:p>
          <w:p w14:paraId="5FCF07B6" w14:textId="77777777" w:rsidR="00422EC6" w:rsidRPr="00D9626B" w:rsidRDefault="00422EC6" w:rsidP="00720A8D">
            <w:pPr>
              <w:rPr>
                <w:szCs w:val="24"/>
              </w:rPr>
            </w:pPr>
          </w:p>
          <w:p w14:paraId="69AEAB7D" w14:textId="77777777" w:rsidR="003D67EC" w:rsidRDefault="00422EC6" w:rsidP="00422EC6">
            <w:pPr>
              <w:rPr>
                <w:color w:val="FF0000"/>
                <w:szCs w:val="24"/>
              </w:rPr>
            </w:pPr>
            <w:r w:rsidRPr="00D9626B">
              <w:rPr>
                <w:szCs w:val="24"/>
              </w:rPr>
              <w:t>(</w:t>
            </w:r>
            <w:hyperlink r:id="rId8" w:history="1">
              <w:r w:rsidRPr="006E0A06">
                <w:rPr>
                  <w:rStyle w:val="Hyperlink"/>
                  <w:szCs w:val="24"/>
                </w:rPr>
                <w:t>https://www.lancashire.gov.uk/lancashire-insight/economy/income-earnings-and-benefits/universal-credit/</w:t>
              </w:r>
            </w:hyperlink>
          </w:p>
          <w:p w14:paraId="297B2823" w14:textId="77777777" w:rsidR="003D67EC" w:rsidRDefault="003D67EC" w:rsidP="00422EC6">
            <w:pPr>
              <w:rPr>
                <w:color w:val="FF0000"/>
                <w:szCs w:val="24"/>
              </w:rPr>
            </w:pPr>
          </w:p>
          <w:p w14:paraId="4A7FA243" w14:textId="77777777" w:rsidR="00422EC6" w:rsidRDefault="004C2F5E" w:rsidP="003D67EC">
            <w:pPr>
              <w:rPr>
                <w:color w:val="FF0000"/>
                <w:szCs w:val="24"/>
              </w:rPr>
            </w:pPr>
            <w:hyperlink r:id="rId9" w:history="1">
              <w:r w:rsidR="003D67EC" w:rsidRPr="006E0A06">
                <w:rPr>
                  <w:rStyle w:val="Hyperlink"/>
                  <w:szCs w:val="24"/>
                </w:rPr>
                <w:t>https://www.lancashire.gov.uk/lancashire-insight/economy/income-earnings-and-benefits/claimant-count-figures/</w:t>
              </w:r>
            </w:hyperlink>
            <w:r w:rsidR="00422EC6" w:rsidRPr="00D9626B">
              <w:rPr>
                <w:szCs w:val="24"/>
              </w:rPr>
              <w:t>)</w:t>
            </w:r>
          </w:p>
          <w:p w14:paraId="50CA3A16" w14:textId="0E96CE93" w:rsidR="003D67EC" w:rsidRPr="00F87AC0" w:rsidRDefault="003D67EC" w:rsidP="003D67EC">
            <w:pPr>
              <w:rPr>
                <w:color w:val="FF0000"/>
                <w:szCs w:val="24"/>
              </w:rPr>
            </w:pPr>
          </w:p>
        </w:tc>
        <w:tc>
          <w:tcPr>
            <w:tcW w:w="1417" w:type="dxa"/>
          </w:tcPr>
          <w:p w14:paraId="79235054" w14:textId="4F360343" w:rsidR="00980EE0" w:rsidRPr="00D9626B" w:rsidRDefault="00980EE0" w:rsidP="00720A8D">
            <w:pPr>
              <w:rPr>
                <w:szCs w:val="24"/>
              </w:rPr>
            </w:pPr>
            <w:r w:rsidRPr="00D9626B">
              <w:rPr>
                <w:szCs w:val="24"/>
              </w:rPr>
              <w:t>Committee</w:t>
            </w:r>
          </w:p>
        </w:tc>
        <w:tc>
          <w:tcPr>
            <w:tcW w:w="2764" w:type="dxa"/>
          </w:tcPr>
          <w:p w14:paraId="401BCD48" w14:textId="0AB0785F" w:rsidR="00980EE0" w:rsidRPr="00D9626B" w:rsidRDefault="003970B6" w:rsidP="00720A8D">
            <w:pPr>
              <w:rPr>
                <w:szCs w:val="24"/>
              </w:rPr>
            </w:pPr>
            <w:r w:rsidRPr="00D9626B">
              <w:rPr>
                <w:szCs w:val="24"/>
              </w:rPr>
              <w:t xml:space="preserve">Tbc, </w:t>
            </w:r>
            <w:r w:rsidR="00980EE0" w:rsidRPr="00D9626B">
              <w:rPr>
                <w:szCs w:val="24"/>
              </w:rPr>
              <w:t>Department for Work and Pensions</w:t>
            </w:r>
            <w:r w:rsidR="00642CA0" w:rsidRPr="00D9626B">
              <w:rPr>
                <w:szCs w:val="24"/>
              </w:rPr>
              <w:t>,</w:t>
            </w:r>
          </w:p>
          <w:p w14:paraId="2F068597" w14:textId="283FCAB9" w:rsidR="00642CA0" w:rsidRPr="00D9626B" w:rsidRDefault="00642CA0" w:rsidP="00720A8D">
            <w:pPr>
              <w:rPr>
                <w:szCs w:val="24"/>
              </w:rPr>
            </w:pPr>
          </w:p>
          <w:p w14:paraId="3250DF05" w14:textId="3C7FF0C8" w:rsidR="00642CA0" w:rsidRPr="00D9626B" w:rsidRDefault="00642CA0" w:rsidP="00720A8D">
            <w:pPr>
              <w:rPr>
                <w:szCs w:val="24"/>
              </w:rPr>
            </w:pPr>
            <w:r w:rsidRPr="00D9626B">
              <w:rPr>
                <w:szCs w:val="24"/>
              </w:rPr>
              <w:t>Joanne Barker, Welfare Rights Manager</w:t>
            </w:r>
            <w:r w:rsidR="00AB31E0">
              <w:rPr>
                <w:szCs w:val="24"/>
              </w:rPr>
              <w:t>, LCC</w:t>
            </w:r>
          </w:p>
          <w:p w14:paraId="5ACDADC3" w14:textId="479BD3DE" w:rsidR="00980EE0" w:rsidRPr="00D9626B" w:rsidRDefault="00980EE0" w:rsidP="00720A8D">
            <w:pPr>
              <w:rPr>
                <w:szCs w:val="24"/>
              </w:rPr>
            </w:pPr>
          </w:p>
        </w:tc>
        <w:tc>
          <w:tcPr>
            <w:tcW w:w="1324" w:type="dxa"/>
          </w:tcPr>
          <w:p w14:paraId="1F8FE670" w14:textId="385F0310" w:rsidR="00980EE0" w:rsidRPr="00C04005" w:rsidRDefault="00B6223B" w:rsidP="009D136D">
            <w:pPr>
              <w:rPr>
                <w:color w:val="FF0000"/>
                <w:szCs w:val="24"/>
              </w:rPr>
            </w:pPr>
            <w:bookmarkStart w:id="0" w:name="_GoBack"/>
            <w:bookmarkEnd w:id="0"/>
            <w:r w:rsidRPr="00C04005">
              <w:rPr>
                <w:color w:val="FF0000"/>
                <w:szCs w:val="24"/>
              </w:rPr>
              <w:t>tbc</w:t>
            </w:r>
          </w:p>
        </w:tc>
        <w:tc>
          <w:tcPr>
            <w:tcW w:w="2364" w:type="dxa"/>
          </w:tcPr>
          <w:p w14:paraId="6E880CEF" w14:textId="77777777" w:rsidR="00980EE0" w:rsidRPr="00F87AC0" w:rsidRDefault="00980EE0" w:rsidP="00A82144">
            <w:pPr>
              <w:rPr>
                <w:color w:val="FF0000"/>
                <w:szCs w:val="24"/>
              </w:rPr>
            </w:pPr>
          </w:p>
        </w:tc>
        <w:tc>
          <w:tcPr>
            <w:tcW w:w="1377" w:type="dxa"/>
          </w:tcPr>
          <w:p w14:paraId="74651A24" w14:textId="77777777" w:rsidR="00980EE0" w:rsidRPr="00F87AC0" w:rsidRDefault="00980EE0" w:rsidP="00720A8D">
            <w:pPr>
              <w:rPr>
                <w:color w:val="FF0000"/>
                <w:szCs w:val="24"/>
              </w:rPr>
            </w:pPr>
          </w:p>
        </w:tc>
      </w:tr>
      <w:tr w:rsidR="006232D6" w14:paraId="752CDCAF" w14:textId="77777777" w:rsidTr="00B6223B">
        <w:trPr>
          <w:trHeight w:val="510"/>
        </w:trPr>
        <w:tc>
          <w:tcPr>
            <w:tcW w:w="1711" w:type="dxa"/>
            <w:shd w:val="clear" w:color="auto" w:fill="D9D9D9" w:themeFill="background1" w:themeFillShade="D9"/>
          </w:tcPr>
          <w:p w14:paraId="6531E30C" w14:textId="77777777" w:rsidR="006232D6" w:rsidRDefault="006232D6" w:rsidP="00720A8D">
            <w:pPr>
              <w:rPr>
                <w:szCs w:val="24"/>
              </w:rPr>
            </w:pPr>
          </w:p>
        </w:tc>
        <w:tc>
          <w:tcPr>
            <w:tcW w:w="4712" w:type="dxa"/>
            <w:shd w:val="clear" w:color="auto" w:fill="D9D9D9" w:themeFill="background1" w:themeFillShade="D9"/>
          </w:tcPr>
          <w:p w14:paraId="45E037B9" w14:textId="77777777" w:rsidR="006232D6" w:rsidRDefault="006232D6" w:rsidP="00720A8D">
            <w:pPr>
              <w:rPr>
                <w:szCs w:val="24"/>
              </w:rPr>
            </w:pPr>
          </w:p>
        </w:tc>
        <w:tc>
          <w:tcPr>
            <w:tcW w:w="1417" w:type="dxa"/>
            <w:shd w:val="clear" w:color="auto" w:fill="D9D9D9" w:themeFill="background1" w:themeFillShade="D9"/>
          </w:tcPr>
          <w:p w14:paraId="45C6916B" w14:textId="77777777" w:rsidR="006232D6" w:rsidRDefault="006232D6" w:rsidP="00720A8D">
            <w:pPr>
              <w:rPr>
                <w:szCs w:val="24"/>
              </w:rPr>
            </w:pPr>
          </w:p>
        </w:tc>
        <w:tc>
          <w:tcPr>
            <w:tcW w:w="2764" w:type="dxa"/>
            <w:shd w:val="clear" w:color="auto" w:fill="D9D9D9" w:themeFill="background1" w:themeFillShade="D9"/>
          </w:tcPr>
          <w:p w14:paraId="6DC58E36" w14:textId="77777777" w:rsidR="006232D6" w:rsidRPr="00AE7E3A" w:rsidRDefault="006232D6" w:rsidP="00720A8D">
            <w:pPr>
              <w:rPr>
                <w:szCs w:val="24"/>
              </w:rPr>
            </w:pPr>
          </w:p>
        </w:tc>
        <w:tc>
          <w:tcPr>
            <w:tcW w:w="1324" w:type="dxa"/>
            <w:shd w:val="clear" w:color="auto" w:fill="D9D9D9" w:themeFill="background1" w:themeFillShade="D9"/>
          </w:tcPr>
          <w:p w14:paraId="4EED8D60" w14:textId="77777777" w:rsidR="006232D6" w:rsidRPr="00AE7E3A" w:rsidRDefault="006232D6" w:rsidP="009D136D">
            <w:pPr>
              <w:rPr>
                <w:szCs w:val="24"/>
              </w:rPr>
            </w:pPr>
          </w:p>
        </w:tc>
        <w:tc>
          <w:tcPr>
            <w:tcW w:w="2364" w:type="dxa"/>
            <w:shd w:val="clear" w:color="auto" w:fill="D9D9D9" w:themeFill="background1" w:themeFillShade="D9"/>
          </w:tcPr>
          <w:p w14:paraId="0A557B1D" w14:textId="77777777" w:rsidR="006232D6" w:rsidRPr="00A82144" w:rsidRDefault="006232D6" w:rsidP="00A82144">
            <w:pPr>
              <w:rPr>
                <w:szCs w:val="24"/>
              </w:rPr>
            </w:pPr>
          </w:p>
        </w:tc>
        <w:tc>
          <w:tcPr>
            <w:tcW w:w="1377" w:type="dxa"/>
            <w:shd w:val="clear" w:color="auto" w:fill="D9D9D9" w:themeFill="background1" w:themeFillShade="D9"/>
          </w:tcPr>
          <w:p w14:paraId="0C60B5D8" w14:textId="77777777" w:rsidR="006232D6" w:rsidRPr="00A82144" w:rsidRDefault="006232D6" w:rsidP="00720A8D">
            <w:pPr>
              <w:rPr>
                <w:szCs w:val="24"/>
              </w:rPr>
            </w:pPr>
          </w:p>
        </w:tc>
      </w:tr>
      <w:tr w:rsidR="00D9626B" w:rsidRPr="00D9626B" w14:paraId="29235727" w14:textId="77777777" w:rsidTr="00B6223B">
        <w:trPr>
          <w:trHeight w:val="510"/>
        </w:trPr>
        <w:tc>
          <w:tcPr>
            <w:tcW w:w="1711" w:type="dxa"/>
          </w:tcPr>
          <w:p w14:paraId="6D7027F5" w14:textId="38541266" w:rsidR="006232D6" w:rsidRPr="00D9626B" w:rsidRDefault="006232D6" w:rsidP="00720A8D">
            <w:pPr>
              <w:rPr>
                <w:szCs w:val="24"/>
              </w:rPr>
            </w:pPr>
            <w:r w:rsidRPr="00D9626B">
              <w:rPr>
                <w:szCs w:val="24"/>
              </w:rPr>
              <w:t>Lancashire Renewables Ltd</w:t>
            </w:r>
          </w:p>
        </w:tc>
        <w:tc>
          <w:tcPr>
            <w:tcW w:w="4712" w:type="dxa"/>
          </w:tcPr>
          <w:p w14:paraId="02B9C24A" w14:textId="1E603353" w:rsidR="006232D6" w:rsidRPr="00D9626B" w:rsidRDefault="00B6223B" w:rsidP="00720A8D">
            <w:pPr>
              <w:rPr>
                <w:szCs w:val="24"/>
              </w:rPr>
            </w:pPr>
            <w:r w:rsidRPr="00D9626B">
              <w:rPr>
                <w:szCs w:val="24"/>
              </w:rPr>
              <w:t>Energy from waste</w:t>
            </w:r>
          </w:p>
        </w:tc>
        <w:tc>
          <w:tcPr>
            <w:tcW w:w="1417" w:type="dxa"/>
          </w:tcPr>
          <w:p w14:paraId="2B5F5418" w14:textId="33837162" w:rsidR="006232D6" w:rsidRPr="00D9626B" w:rsidRDefault="006232D6" w:rsidP="00720A8D">
            <w:pPr>
              <w:rPr>
                <w:szCs w:val="24"/>
              </w:rPr>
            </w:pPr>
            <w:r w:rsidRPr="00D9626B">
              <w:rPr>
                <w:szCs w:val="24"/>
              </w:rPr>
              <w:t>Committee</w:t>
            </w:r>
          </w:p>
        </w:tc>
        <w:tc>
          <w:tcPr>
            <w:tcW w:w="2764" w:type="dxa"/>
          </w:tcPr>
          <w:p w14:paraId="0329F3F1" w14:textId="03CF4D5B" w:rsidR="006232D6" w:rsidRPr="00D9626B" w:rsidRDefault="00117FA1" w:rsidP="00720A8D">
            <w:pPr>
              <w:rPr>
                <w:szCs w:val="24"/>
              </w:rPr>
            </w:pPr>
            <w:r>
              <w:rPr>
                <w:szCs w:val="24"/>
              </w:rPr>
              <w:t>Paul Brindle, General Manager, Lancashire Renewables and Steve Scott, Head of Waste Management, LCC</w:t>
            </w:r>
          </w:p>
        </w:tc>
        <w:tc>
          <w:tcPr>
            <w:tcW w:w="1324" w:type="dxa"/>
          </w:tcPr>
          <w:p w14:paraId="7B801926" w14:textId="605587D6" w:rsidR="006232D6" w:rsidRPr="00D9626B" w:rsidRDefault="00A21F87" w:rsidP="001D741C">
            <w:pPr>
              <w:rPr>
                <w:szCs w:val="24"/>
              </w:rPr>
            </w:pPr>
            <w:r w:rsidRPr="00D9626B">
              <w:rPr>
                <w:szCs w:val="24"/>
              </w:rPr>
              <w:t xml:space="preserve">26 </w:t>
            </w:r>
            <w:r w:rsidR="006232D6" w:rsidRPr="00D9626B">
              <w:rPr>
                <w:szCs w:val="24"/>
              </w:rPr>
              <w:t>November 2019</w:t>
            </w:r>
          </w:p>
        </w:tc>
        <w:tc>
          <w:tcPr>
            <w:tcW w:w="2364" w:type="dxa"/>
          </w:tcPr>
          <w:p w14:paraId="7C51B446" w14:textId="77777777" w:rsidR="006232D6" w:rsidRPr="00D9626B" w:rsidRDefault="006232D6" w:rsidP="00A82144">
            <w:pPr>
              <w:rPr>
                <w:szCs w:val="24"/>
              </w:rPr>
            </w:pPr>
          </w:p>
        </w:tc>
        <w:tc>
          <w:tcPr>
            <w:tcW w:w="1377" w:type="dxa"/>
          </w:tcPr>
          <w:p w14:paraId="657DE0BB" w14:textId="77777777" w:rsidR="006232D6" w:rsidRPr="00D9626B" w:rsidRDefault="006232D6" w:rsidP="00720A8D">
            <w:pPr>
              <w:rPr>
                <w:szCs w:val="24"/>
              </w:rPr>
            </w:pPr>
          </w:p>
        </w:tc>
      </w:tr>
      <w:tr w:rsidR="00D9626B" w:rsidRPr="00D9626B" w14:paraId="30208E79" w14:textId="77777777" w:rsidTr="00B6223B">
        <w:trPr>
          <w:trHeight w:val="510"/>
        </w:trPr>
        <w:tc>
          <w:tcPr>
            <w:tcW w:w="1711" w:type="dxa"/>
          </w:tcPr>
          <w:p w14:paraId="562CB4AB" w14:textId="0D6C101F" w:rsidR="006232D6" w:rsidRPr="00D9626B" w:rsidRDefault="006232D6" w:rsidP="00720A8D">
            <w:pPr>
              <w:rPr>
                <w:szCs w:val="24"/>
              </w:rPr>
            </w:pPr>
            <w:r w:rsidRPr="00D9626B">
              <w:rPr>
                <w:szCs w:val="24"/>
              </w:rPr>
              <w:lastRenderedPageBreak/>
              <w:t xml:space="preserve">Lancashire Energy Strategy </w:t>
            </w:r>
          </w:p>
        </w:tc>
        <w:tc>
          <w:tcPr>
            <w:tcW w:w="4712" w:type="dxa"/>
          </w:tcPr>
          <w:p w14:paraId="0C1BDAAB" w14:textId="6D4499E5" w:rsidR="006232D6" w:rsidRPr="00D9626B" w:rsidRDefault="006232D6" w:rsidP="00720A8D">
            <w:pPr>
              <w:rPr>
                <w:szCs w:val="24"/>
              </w:rPr>
            </w:pPr>
            <w:r w:rsidRPr="00D9626B">
              <w:rPr>
                <w:szCs w:val="24"/>
              </w:rPr>
              <w:t>Activities arising from the key findings of the Strategy</w:t>
            </w:r>
          </w:p>
        </w:tc>
        <w:tc>
          <w:tcPr>
            <w:tcW w:w="1417" w:type="dxa"/>
          </w:tcPr>
          <w:p w14:paraId="23A07DBB" w14:textId="501A86C1" w:rsidR="006232D6" w:rsidRPr="00D9626B" w:rsidRDefault="006232D6" w:rsidP="00720A8D">
            <w:pPr>
              <w:rPr>
                <w:szCs w:val="24"/>
              </w:rPr>
            </w:pPr>
            <w:r w:rsidRPr="00D9626B">
              <w:rPr>
                <w:szCs w:val="24"/>
              </w:rPr>
              <w:t>Committee</w:t>
            </w:r>
          </w:p>
        </w:tc>
        <w:tc>
          <w:tcPr>
            <w:tcW w:w="2764" w:type="dxa"/>
          </w:tcPr>
          <w:p w14:paraId="5F043DD5" w14:textId="6280EDCB" w:rsidR="006232D6" w:rsidRPr="00D9626B" w:rsidRDefault="006232D6" w:rsidP="00720A8D">
            <w:pPr>
              <w:rPr>
                <w:szCs w:val="24"/>
              </w:rPr>
            </w:pPr>
            <w:r w:rsidRPr="00D9626B">
              <w:rPr>
                <w:szCs w:val="24"/>
              </w:rPr>
              <w:t>Chair of LEP, Andy Walker, LCC</w:t>
            </w:r>
          </w:p>
        </w:tc>
        <w:tc>
          <w:tcPr>
            <w:tcW w:w="1324" w:type="dxa"/>
          </w:tcPr>
          <w:p w14:paraId="40C4F87C" w14:textId="0ABD7FDD" w:rsidR="006232D6" w:rsidRPr="00D9626B" w:rsidRDefault="00A21F87" w:rsidP="001D741C">
            <w:pPr>
              <w:rPr>
                <w:szCs w:val="24"/>
              </w:rPr>
            </w:pPr>
            <w:r w:rsidRPr="00D9626B">
              <w:rPr>
                <w:szCs w:val="24"/>
              </w:rPr>
              <w:t xml:space="preserve">26 </w:t>
            </w:r>
            <w:r w:rsidR="001D741C" w:rsidRPr="00D9626B">
              <w:rPr>
                <w:szCs w:val="24"/>
              </w:rPr>
              <w:t>Novem</w:t>
            </w:r>
            <w:r w:rsidR="006232D6" w:rsidRPr="00D9626B">
              <w:rPr>
                <w:szCs w:val="24"/>
              </w:rPr>
              <w:t>ber 2019</w:t>
            </w:r>
          </w:p>
        </w:tc>
        <w:tc>
          <w:tcPr>
            <w:tcW w:w="2364" w:type="dxa"/>
          </w:tcPr>
          <w:p w14:paraId="5F7D7A4C" w14:textId="77777777" w:rsidR="006232D6" w:rsidRPr="00D9626B" w:rsidRDefault="006232D6" w:rsidP="00A82144">
            <w:pPr>
              <w:rPr>
                <w:szCs w:val="24"/>
              </w:rPr>
            </w:pPr>
          </w:p>
        </w:tc>
        <w:tc>
          <w:tcPr>
            <w:tcW w:w="1377" w:type="dxa"/>
          </w:tcPr>
          <w:p w14:paraId="6BC999DC" w14:textId="77777777" w:rsidR="006232D6" w:rsidRPr="00D9626B" w:rsidRDefault="006232D6" w:rsidP="00720A8D">
            <w:pPr>
              <w:rPr>
                <w:szCs w:val="24"/>
              </w:rPr>
            </w:pPr>
          </w:p>
        </w:tc>
      </w:tr>
      <w:tr w:rsidR="00D9626B" w:rsidRPr="00D9626B" w14:paraId="595BD2FB" w14:textId="77777777" w:rsidTr="00B6223B">
        <w:trPr>
          <w:trHeight w:val="510"/>
        </w:trPr>
        <w:tc>
          <w:tcPr>
            <w:tcW w:w="1711" w:type="dxa"/>
          </w:tcPr>
          <w:p w14:paraId="4FB3E500" w14:textId="02F13AE8" w:rsidR="00A21F87" w:rsidRPr="00D9626B" w:rsidRDefault="00A21F87" w:rsidP="00720A8D">
            <w:pPr>
              <w:rPr>
                <w:szCs w:val="24"/>
              </w:rPr>
            </w:pPr>
            <w:r w:rsidRPr="00D9626B">
              <w:t>Strengthening flood risk management and preparedness in Lancashire</w:t>
            </w:r>
          </w:p>
        </w:tc>
        <w:tc>
          <w:tcPr>
            <w:tcW w:w="4712" w:type="dxa"/>
          </w:tcPr>
          <w:p w14:paraId="43651089" w14:textId="43738A86" w:rsidR="00A21F87" w:rsidRPr="00D9626B" w:rsidRDefault="00A21F87" w:rsidP="00720A8D">
            <w:pPr>
              <w:rPr>
                <w:szCs w:val="24"/>
              </w:rPr>
            </w:pPr>
            <w:r w:rsidRPr="00D9626B">
              <w:rPr>
                <w:szCs w:val="24"/>
              </w:rPr>
              <w:t>Task and finish group report</w:t>
            </w:r>
          </w:p>
        </w:tc>
        <w:tc>
          <w:tcPr>
            <w:tcW w:w="1417" w:type="dxa"/>
          </w:tcPr>
          <w:p w14:paraId="173821F4" w14:textId="16F0AF0A" w:rsidR="00A21F87" w:rsidRPr="00D9626B" w:rsidRDefault="00A21F87" w:rsidP="00720A8D">
            <w:pPr>
              <w:rPr>
                <w:szCs w:val="24"/>
              </w:rPr>
            </w:pPr>
            <w:r w:rsidRPr="00D9626B">
              <w:rPr>
                <w:szCs w:val="24"/>
              </w:rPr>
              <w:t>Committee</w:t>
            </w:r>
          </w:p>
        </w:tc>
        <w:tc>
          <w:tcPr>
            <w:tcW w:w="2764" w:type="dxa"/>
          </w:tcPr>
          <w:p w14:paraId="5F7B3A5F" w14:textId="563DADEB" w:rsidR="00A21F87" w:rsidRPr="00D9626B" w:rsidRDefault="00A21F87" w:rsidP="00720A8D">
            <w:pPr>
              <w:rPr>
                <w:szCs w:val="24"/>
              </w:rPr>
            </w:pPr>
            <w:r w:rsidRPr="00D9626B">
              <w:rPr>
                <w:szCs w:val="24"/>
              </w:rPr>
              <w:t>CC Matthew Salter and Gary Halsall, LCC</w:t>
            </w:r>
          </w:p>
        </w:tc>
        <w:tc>
          <w:tcPr>
            <w:tcW w:w="1324" w:type="dxa"/>
          </w:tcPr>
          <w:p w14:paraId="157B3936" w14:textId="13C67817" w:rsidR="00A21F87" w:rsidRPr="00D9626B" w:rsidRDefault="00A21F87" w:rsidP="001D741C">
            <w:pPr>
              <w:rPr>
                <w:szCs w:val="24"/>
              </w:rPr>
            </w:pPr>
            <w:r w:rsidRPr="00D9626B">
              <w:rPr>
                <w:szCs w:val="24"/>
              </w:rPr>
              <w:t>26 November 2019</w:t>
            </w:r>
          </w:p>
        </w:tc>
        <w:tc>
          <w:tcPr>
            <w:tcW w:w="2364" w:type="dxa"/>
          </w:tcPr>
          <w:p w14:paraId="334E9945" w14:textId="77777777" w:rsidR="00A21F87" w:rsidRPr="00D9626B" w:rsidRDefault="00A21F87" w:rsidP="00A82144">
            <w:pPr>
              <w:rPr>
                <w:szCs w:val="24"/>
              </w:rPr>
            </w:pPr>
          </w:p>
        </w:tc>
        <w:tc>
          <w:tcPr>
            <w:tcW w:w="1377" w:type="dxa"/>
          </w:tcPr>
          <w:p w14:paraId="695ABEEF" w14:textId="77777777" w:rsidR="00A21F87" w:rsidRPr="00D9626B" w:rsidRDefault="00A21F87" w:rsidP="00720A8D">
            <w:pPr>
              <w:rPr>
                <w:szCs w:val="24"/>
              </w:rPr>
            </w:pPr>
          </w:p>
        </w:tc>
      </w:tr>
      <w:tr w:rsidR="006A3BE2" w14:paraId="20A24B3D" w14:textId="77777777" w:rsidTr="00B6223B">
        <w:trPr>
          <w:trHeight w:val="510"/>
        </w:trPr>
        <w:tc>
          <w:tcPr>
            <w:tcW w:w="1711" w:type="dxa"/>
            <w:shd w:val="clear" w:color="auto" w:fill="D9D9D9" w:themeFill="background1" w:themeFillShade="D9"/>
          </w:tcPr>
          <w:p w14:paraId="76196D35" w14:textId="77777777" w:rsidR="006A3BE2" w:rsidRDefault="006A3BE2" w:rsidP="004A4E1B">
            <w:pPr>
              <w:rPr>
                <w:szCs w:val="24"/>
              </w:rPr>
            </w:pPr>
          </w:p>
        </w:tc>
        <w:tc>
          <w:tcPr>
            <w:tcW w:w="4712" w:type="dxa"/>
            <w:shd w:val="clear" w:color="auto" w:fill="D9D9D9" w:themeFill="background1" w:themeFillShade="D9"/>
          </w:tcPr>
          <w:p w14:paraId="487F7EB1" w14:textId="77777777" w:rsidR="006A3BE2" w:rsidRDefault="006A3BE2" w:rsidP="000C4B64">
            <w:pPr>
              <w:rPr>
                <w:szCs w:val="24"/>
              </w:rPr>
            </w:pPr>
          </w:p>
        </w:tc>
        <w:tc>
          <w:tcPr>
            <w:tcW w:w="1417" w:type="dxa"/>
            <w:shd w:val="clear" w:color="auto" w:fill="D9D9D9" w:themeFill="background1" w:themeFillShade="D9"/>
          </w:tcPr>
          <w:p w14:paraId="5E2C30A1" w14:textId="77777777" w:rsidR="006A3BE2" w:rsidRDefault="006A3BE2" w:rsidP="004A4E1B">
            <w:pPr>
              <w:rPr>
                <w:szCs w:val="24"/>
              </w:rPr>
            </w:pPr>
          </w:p>
        </w:tc>
        <w:tc>
          <w:tcPr>
            <w:tcW w:w="2764" w:type="dxa"/>
            <w:shd w:val="clear" w:color="auto" w:fill="D9D9D9" w:themeFill="background1" w:themeFillShade="D9"/>
          </w:tcPr>
          <w:p w14:paraId="605272A5" w14:textId="77777777" w:rsidR="006A3BE2" w:rsidRDefault="006A3BE2" w:rsidP="000C4B64">
            <w:pPr>
              <w:rPr>
                <w:szCs w:val="24"/>
              </w:rPr>
            </w:pPr>
          </w:p>
        </w:tc>
        <w:tc>
          <w:tcPr>
            <w:tcW w:w="1324" w:type="dxa"/>
            <w:shd w:val="clear" w:color="auto" w:fill="D9D9D9" w:themeFill="background1" w:themeFillShade="D9"/>
          </w:tcPr>
          <w:p w14:paraId="5604FBD5" w14:textId="77777777" w:rsidR="006A3BE2" w:rsidRDefault="006A3BE2" w:rsidP="004A4E1B">
            <w:pPr>
              <w:rPr>
                <w:szCs w:val="24"/>
              </w:rPr>
            </w:pPr>
          </w:p>
        </w:tc>
        <w:tc>
          <w:tcPr>
            <w:tcW w:w="2364" w:type="dxa"/>
            <w:shd w:val="clear" w:color="auto" w:fill="D9D9D9" w:themeFill="background1" w:themeFillShade="D9"/>
          </w:tcPr>
          <w:p w14:paraId="183DF6B1" w14:textId="77777777" w:rsidR="006A3BE2" w:rsidRPr="00A82144" w:rsidRDefault="006A3BE2" w:rsidP="000C4B64">
            <w:pPr>
              <w:jc w:val="both"/>
              <w:rPr>
                <w:szCs w:val="24"/>
              </w:rPr>
            </w:pPr>
          </w:p>
        </w:tc>
        <w:tc>
          <w:tcPr>
            <w:tcW w:w="1377" w:type="dxa"/>
            <w:shd w:val="clear" w:color="auto" w:fill="D9D9D9" w:themeFill="background1" w:themeFillShade="D9"/>
          </w:tcPr>
          <w:p w14:paraId="1C2DB5C0" w14:textId="77777777" w:rsidR="006A3BE2" w:rsidRPr="00A82144" w:rsidRDefault="006A3BE2" w:rsidP="004A4E1B">
            <w:pPr>
              <w:rPr>
                <w:szCs w:val="24"/>
              </w:rPr>
            </w:pPr>
          </w:p>
        </w:tc>
      </w:tr>
      <w:tr w:rsidR="00D05245" w14:paraId="4C2FFA75" w14:textId="77777777" w:rsidTr="00B6223B">
        <w:trPr>
          <w:trHeight w:val="510"/>
        </w:trPr>
        <w:tc>
          <w:tcPr>
            <w:tcW w:w="1711" w:type="dxa"/>
          </w:tcPr>
          <w:p w14:paraId="4644E7E9" w14:textId="77777777" w:rsidR="00C00DB1" w:rsidRDefault="00C00DB1" w:rsidP="004A4E1B">
            <w:pPr>
              <w:rPr>
                <w:szCs w:val="24"/>
              </w:rPr>
            </w:pPr>
            <w:r>
              <w:rPr>
                <w:szCs w:val="24"/>
              </w:rPr>
              <w:t>Transport for the North (TfN)</w:t>
            </w:r>
          </w:p>
          <w:p w14:paraId="5C81B507" w14:textId="77777777" w:rsidR="00C00DB1" w:rsidRDefault="00C00DB1" w:rsidP="004A4E1B">
            <w:pPr>
              <w:rPr>
                <w:szCs w:val="24"/>
              </w:rPr>
            </w:pPr>
          </w:p>
        </w:tc>
        <w:tc>
          <w:tcPr>
            <w:tcW w:w="4712" w:type="dxa"/>
          </w:tcPr>
          <w:p w14:paraId="770AB025" w14:textId="1D5F0067" w:rsidR="00C01101" w:rsidRPr="000C4B64" w:rsidRDefault="000C4B64" w:rsidP="000C4B64">
            <w:pPr>
              <w:rPr>
                <w:szCs w:val="24"/>
              </w:rPr>
            </w:pPr>
            <w:r>
              <w:rPr>
                <w:szCs w:val="24"/>
              </w:rPr>
              <w:t>Outcome of the trans-</w:t>
            </w:r>
            <w:proofErr w:type="spellStart"/>
            <w:r>
              <w:rPr>
                <w:szCs w:val="24"/>
              </w:rPr>
              <w:t>pennine</w:t>
            </w:r>
            <w:proofErr w:type="spellEnd"/>
            <w:r>
              <w:rPr>
                <w:szCs w:val="24"/>
              </w:rPr>
              <w:t xml:space="preserve"> road study</w:t>
            </w:r>
          </w:p>
        </w:tc>
        <w:tc>
          <w:tcPr>
            <w:tcW w:w="1417" w:type="dxa"/>
          </w:tcPr>
          <w:p w14:paraId="70147D24" w14:textId="77777777" w:rsidR="00C00DB1" w:rsidRDefault="00C00DB1" w:rsidP="004A4E1B">
            <w:pPr>
              <w:rPr>
                <w:szCs w:val="24"/>
              </w:rPr>
            </w:pPr>
            <w:r>
              <w:rPr>
                <w:szCs w:val="24"/>
              </w:rPr>
              <w:t>Committee</w:t>
            </w:r>
          </w:p>
        </w:tc>
        <w:tc>
          <w:tcPr>
            <w:tcW w:w="2764" w:type="dxa"/>
          </w:tcPr>
          <w:p w14:paraId="03D27099" w14:textId="77777777" w:rsidR="000C4B64" w:rsidRDefault="000C4B64" w:rsidP="000C4B64">
            <w:pPr>
              <w:rPr>
                <w:szCs w:val="24"/>
              </w:rPr>
            </w:pPr>
            <w:r>
              <w:rPr>
                <w:szCs w:val="24"/>
              </w:rPr>
              <w:t>Robin Miller-Stott</w:t>
            </w:r>
            <w:r w:rsidR="00C01101">
              <w:rPr>
                <w:szCs w:val="24"/>
              </w:rPr>
              <w:t xml:space="preserve">, </w:t>
            </w:r>
            <w:r w:rsidR="00C00DB1">
              <w:rPr>
                <w:szCs w:val="24"/>
              </w:rPr>
              <w:t>TfN</w:t>
            </w:r>
            <w:r w:rsidR="00E10F20">
              <w:rPr>
                <w:szCs w:val="24"/>
              </w:rPr>
              <w:t xml:space="preserve"> and </w:t>
            </w:r>
          </w:p>
          <w:p w14:paraId="5D11B81A" w14:textId="7B68F02A" w:rsidR="00C00DB1" w:rsidRDefault="000C4B64" w:rsidP="000C4B64">
            <w:pPr>
              <w:rPr>
                <w:szCs w:val="24"/>
              </w:rPr>
            </w:pPr>
            <w:r>
              <w:rPr>
                <w:szCs w:val="24"/>
              </w:rPr>
              <w:t>Highways England</w:t>
            </w:r>
          </w:p>
        </w:tc>
        <w:tc>
          <w:tcPr>
            <w:tcW w:w="1324" w:type="dxa"/>
          </w:tcPr>
          <w:p w14:paraId="0BD09830" w14:textId="6741893C" w:rsidR="00C00DB1" w:rsidRDefault="000C4B64" w:rsidP="004A4E1B">
            <w:pPr>
              <w:rPr>
                <w:szCs w:val="24"/>
              </w:rPr>
            </w:pPr>
            <w:r>
              <w:rPr>
                <w:szCs w:val="24"/>
              </w:rPr>
              <w:t>21 January 2020</w:t>
            </w:r>
          </w:p>
        </w:tc>
        <w:tc>
          <w:tcPr>
            <w:tcW w:w="2364" w:type="dxa"/>
          </w:tcPr>
          <w:p w14:paraId="5C6B1BA3" w14:textId="77777777" w:rsidR="00C00DB1" w:rsidRPr="00A82144" w:rsidRDefault="00C00DB1" w:rsidP="000C4B64">
            <w:pPr>
              <w:jc w:val="both"/>
              <w:rPr>
                <w:szCs w:val="24"/>
              </w:rPr>
            </w:pPr>
          </w:p>
        </w:tc>
        <w:tc>
          <w:tcPr>
            <w:tcW w:w="1377" w:type="dxa"/>
          </w:tcPr>
          <w:p w14:paraId="141030E2" w14:textId="583AC219" w:rsidR="00E71CB6" w:rsidRPr="00A82144" w:rsidRDefault="00E71CB6" w:rsidP="004A4E1B">
            <w:pPr>
              <w:rPr>
                <w:szCs w:val="24"/>
              </w:rPr>
            </w:pPr>
          </w:p>
        </w:tc>
      </w:tr>
      <w:tr w:rsidR="006232D6" w:rsidRPr="006232D6" w14:paraId="246198BC" w14:textId="77777777" w:rsidTr="00B6223B">
        <w:trPr>
          <w:trHeight w:val="510"/>
        </w:trPr>
        <w:tc>
          <w:tcPr>
            <w:tcW w:w="1711" w:type="dxa"/>
          </w:tcPr>
          <w:p w14:paraId="6AB2A41A" w14:textId="7E3E0D6F" w:rsidR="00E7251A" w:rsidRPr="006232D6" w:rsidRDefault="00E7251A" w:rsidP="002A2802">
            <w:pPr>
              <w:rPr>
                <w:szCs w:val="24"/>
              </w:rPr>
            </w:pPr>
            <w:r w:rsidRPr="006232D6">
              <w:rPr>
                <w:szCs w:val="24"/>
              </w:rPr>
              <w:t xml:space="preserve">LCC </w:t>
            </w:r>
            <w:r w:rsidR="00AE7E3A" w:rsidRPr="006232D6">
              <w:rPr>
                <w:szCs w:val="24"/>
              </w:rPr>
              <w:t>Carbon Plan/</w:t>
            </w:r>
            <w:r w:rsidRPr="006232D6">
              <w:rPr>
                <w:szCs w:val="24"/>
              </w:rPr>
              <w:t xml:space="preserve">Internal Energy and Water Management Policy </w:t>
            </w:r>
          </w:p>
        </w:tc>
        <w:tc>
          <w:tcPr>
            <w:tcW w:w="4712" w:type="dxa"/>
          </w:tcPr>
          <w:p w14:paraId="624E7932" w14:textId="6428DFFC" w:rsidR="00E7251A" w:rsidRPr="006232D6" w:rsidRDefault="00E7251A" w:rsidP="002A2802">
            <w:pPr>
              <w:rPr>
                <w:szCs w:val="24"/>
              </w:rPr>
            </w:pPr>
            <w:r w:rsidRPr="006232D6">
              <w:rPr>
                <w:szCs w:val="24"/>
              </w:rPr>
              <w:t>Policy development</w:t>
            </w:r>
            <w:r w:rsidR="000B436A">
              <w:rPr>
                <w:szCs w:val="24"/>
              </w:rPr>
              <w:t xml:space="preserve"> </w:t>
            </w:r>
            <w:r w:rsidR="000B436A" w:rsidRPr="00D9626B">
              <w:rPr>
                <w:szCs w:val="24"/>
              </w:rPr>
              <w:t>and energy performance of LCC buildings</w:t>
            </w:r>
          </w:p>
        </w:tc>
        <w:tc>
          <w:tcPr>
            <w:tcW w:w="1417" w:type="dxa"/>
          </w:tcPr>
          <w:p w14:paraId="778C67C0" w14:textId="77777777" w:rsidR="00E7251A" w:rsidRPr="006232D6" w:rsidRDefault="00E7251A" w:rsidP="002A2802">
            <w:pPr>
              <w:rPr>
                <w:szCs w:val="24"/>
              </w:rPr>
            </w:pPr>
            <w:r w:rsidRPr="006232D6">
              <w:rPr>
                <w:szCs w:val="24"/>
              </w:rPr>
              <w:t>Committee</w:t>
            </w:r>
          </w:p>
        </w:tc>
        <w:tc>
          <w:tcPr>
            <w:tcW w:w="2764" w:type="dxa"/>
          </w:tcPr>
          <w:p w14:paraId="607522DD" w14:textId="059D3288" w:rsidR="00E7251A" w:rsidRPr="006232D6" w:rsidRDefault="00E7251A" w:rsidP="002A2802">
            <w:pPr>
              <w:rPr>
                <w:szCs w:val="24"/>
              </w:rPr>
            </w:pPr>
            <w:r w:rsidRPr="006232D6">
              <w:rPr>
                <w:szCs w:val="24"/>
              </w:rPr>
              <w:t xml:space="preserve">Denise Jepson, </w:t>
            </w:r>
            <w:r w:rsidR="00B8021D">
              <w:rPr>
                <w:szCs w:val="24"/>
              </w:rPr>
              <w:t xml:space="preserve">Energy Team Manager, </w:t>
            </w:r>
            <w:r w:rsidRPr="006232D6">
              <w:rPr>
                <w:szCs w:val="24"/>
              </w:rPr>
              <w:t xml:space="preserve">LCC, </w:t>
            </w:r>
            <w:r w:rsidRPr="00B8021D">
              <w:rPr>
                <w:color w:val="FF0000"/>
                <w:szCs w:val="24"/>
              </w:rPr>
              <w:t>Electricity North West, Lancashire Renewables (CEO), Npower, Total Gas and Power, Heat network</w:t>
            </w:r>
          </w:p>
        </w:tc>
        <w:tc>
          <w:tcPr>
            <w:tcW w:w="1324" w:type="dxa"/>
          </w:tcPr>
          <w:p w14:paraId="08C76AB4" w14:textId="6EB584E2" w:rsidR="00E7251A" w:rsidRPr="006232D6" w:rsidRDefault="00AE7E3A" w:rsidP="002A2802">
            <w:pPr>
              <w:rPr>
                <w:szCs w:val="24"/>
              </w:rPr>
            </w:pPr>
            <w:r w:rsidRPr="006232D6">
              <w:rPr>
                <w:szCs w:val="24"/>
              </w:rPr>
              <w:t xml:space="preserve">21 </w:t>
            </w:r>
            <w:r w:rsidR="007156DB" w:rsidRPr="006232D6">
              <w:rPr>
                <w:szCs w:val="24"/>
              </w:rPr>
              <w:t>January</w:t>
            </w:r>
            <w:r w:rsidRPr="006232D6">
              <w:rPr>
                <w:szCs w:val="24"/>
              </w:rPr>
              <w:t xml:space="preserve"> 2020</w:t>
            </w:r>
          </w:p>
        </w:tc>
        <w:tc>
          <w:tcPr>
            <w:tcW w:w="2364" w:type="dxa"/>
          </w:tcPr>
          <w:p w14:paraId="65553CE0" w14:textId="77777777" w:rsidR="00E7251A" w:rsidRPr="006232D6" w:rsidRDefault="00E7251A" w:rsidP="002A2802">
            <w:pPr>
              <w:rPr>
                <w:szCs w:val="24"/>
              </w:rPr>
            </w:pPr>
          </w:p>
        </w:tc>
        <w:tc>
          <w:tcPr>
            <w:tcW w:w="1377" w:type="dxa"/>
          </w:tcPr>
          <w:p w14:paraId="120D5424" w14:textId="77777777" w:rsidR="00E7251A" w:rsidRPr="006232D6" w:rsidRDefault="00E7251A" w:rsidP="002A2802">
            <w:pPr>
              <w:rPr>
                <w:szCs w:val="24"/>
              </w:rPr>
            </w:pPr>
          </w:p>
        </w:tc>
      </w:tr>
      <w:tr w:rsidR="00EE1AEE" w14:paraId="43751461" w14:textId="77777777" w:rsidTr="00B6223B">
        <w:trPr>
          <w:trHeight w:val="510"/>
        </w:trPr>
        <w:tc>
          <w:tcPr>
            <w:tcW w:w="1711" w:type="dxa"/>
          </w:tcPr>
          <w:p w14:paraId="2DBF15E9" w14:textId="77777777" w:rsidR="00EE1AEE" w:rsidRDefault="00EE1AEE" w:rsidP="007A60CC">
            <w:pPr>
              <w:rPr>
                <w:szCs w:val="24"/>
              </w:rPr>
            </w:pPr>
            <w:r>
              <w:rPr>
                <w:szCs w:val="24"/>
              </w:rPr>
              <w:t>Community Safety Partnerships</w:t>
            </w:r>
          </w:p>
          <w:p w14:paraId="16B85E85" w14:textId="77777777" w:rsidR="00EE1AEE" w:rsidRDefault="00EE1AEE" w:rsidP="007A60CC">
            <w:pPr>
              <w:rPr>
                <w:szCs w:val="24"/>
              </w:rPr>
            </w:pPr>
          </w:p>
        </w:tc>
        <w:tc>
          <w:tcPr>
            <w:tcW w:w="4712" w:type="dxa"/>
          </w:tcPr>
          <w:p w14:paraId="3A0EC3BF" w14:textId="77777777" w:rsidR="00EE1AEE" w:rsidRDefault="00EE1AEE" w:rsidP="007A60CC">
            <w:pPr>
              <w:rPr>
                <w:szCs w:val="24"/>
              </w:rPr>
            </w:pPr>
            <w:r>
              <w:rPr>
                <w:szCs w:val="24"/>
              </w:rPr>
              <w:t xml:space="preserve">Outcome of the </w:t>
            </w:r>
            <w:r>
              <w:t xml:space="preserve">review of Community Safety Partnerships </w:t>
            </w:r>
            <w:r>
              <w:rPr>
                <w:szCs w:val="24"/>
              </w:rPr>
              <w:t>and Governance Arrangements</w:t>
            </w:r>
          </w:p>
          <w:p w14:paraId="63784F66" w14:textId="77777777" w:rsidR="00EE1AEE" w:rsidRDefault="00EE1AEE" w:rsidP="007A60CC">
            <w:pPr>
              <w:rPr>
                <w:szCs w:val="24"/>
              </w:rPr>
            </w:pPr>
          </w:p>
        </w:tc>
        <w:tc>
          <w:tcPr>
            <w:tcW w:w="1417" w:type="dxa"/>
          </w:tcPr>
          <w:p w14:paraId="198AF42B" w14:textId="77777777" w:rsidR="00EE1AEE" w:rsidRDefault="00EE1AEE" w:rsidP="007A60CC">
            <w:pPr>
              <w:rPr>
                <w:szCs w:val="24"/>
              </w:rPr>
            </w:pPr>
            <w:r>
              <w:rPr>
                <w:szCs w:val="24"/>
              </w:rPr>
              <w:t>Committee</w:t>
            </w:r>
          </w:p>
        </w:tc>
        <w:tc>
          <w:tcPr>
            <w:tcW w:w="2764" w:type="dxa"/>
          </w:tcPr>
          <w:p w14:paraId="02C5CF9F" w14:textId="77777777" w:rsidR="00EE1AEE" w:rsidRDefault="00EE1AEE" w:rsidP="007A60CC">
            <w:pPr>
              <w:rPr>
                <w:szCs w:val="24"/>
              </w:rPr>
            </w:pPr>
            <w:r>
              <w:rPr>
                <w:szCs w:val="24"/>
              </w:rPr>
              <w:t>Debbie Thompson and Clare Platt, LCC</w:t>
            </w:r>
          </w:p>
        </w:tc>
        <w:tc>
          <w:tcPr>
            <w:tcW w:w="1324" w:type="dxa"/>
          </w:tcPr>
          <w:p w14:paraId="79BAAA80" w14:textId="7FB5D6C3" w:rsidR="00EE1AEE" w:rsidRDefault="00EE1AEE" w:rsidP="007A60CC">
            <w:pPr>
              <w:rPr>
                <w:szCs w:val="24"/>
              </w:rPr>
            </w:pPr>
            <w:r>
              <w:rPr>
                <w:szCs w:val="24"/>
              </w:rPr>
              <w:t>21 January 2020</w:t>
            </w:r>
          </w:p>
        </w:tc>
        <w:tc>
          <w:tcPr>
            <w:tcW w:w="2364" w:type="dxa"/>
          </w:tcPr>
          <w:p w14:paraId="092BE2FF" w14:textId="77777777" w:rsidR="00EE1AEE" w:rsidRPr="00A82144" w:rsidRDefault="00EE1AEE" w:rsidP="007A60CC">
            <w:pPr>
              <w:rPr>
                <w:szCs w:val="24"/>
              </w:rPr>
            </w:pPr>
          </w:p>
        </w:tc>
        <w:tc>
          <w:tcPr>
            <w:tcW w:w="1377" w:type="dxa"/>
          </w:tcPr>
          <w:p w14:paraId="73B009CE" w14:textId="77777777" w:rsidR="00EE1AEE" w:rsidRPr="00A82144" w:rsidRDefault="00EE1AEE" w:rsidP="007A60CC">
            <w:pPr>
              <w:rPr>
                <w:szCs w:val="24"/>
              </w:rPr>
            </w:pPr>
          </w:p>
        </w:tc>
      </w:tr>
      <w:tr w:rsidR="006A3BE2" w14:paraId="40921BA4" w14:textId="77777777" w:rsidTr="00B6223B">
        <w:trPr>
          <w:trHeight w:val="510"/>
        </w:trPr>
        <w:tc>
          <w:tcPr>
            <w:tcW w:w="1711" w:type="dxa"/>
            <w:shd w:val="clear" w:color="auto" w:fill="D9D9D9" w:themeFill="background1" w:themeFillShade="D9"/>
          </w:tcPr>
          <w:p w14:paraId="7915CBFC" w14:textId="77777777" w:rsidR="006A3BE2" w:rsidRDefault="006A3BE2" w:rsidP="004A4E1B">
            <w:pPr>
              <w:rPr>
                <w:szCs w:val="24"/>
              </w:rPr>
            </w:pPr>
          </w:p>
        </w:tc>
        <w:tc>
          <w:tcPr>
            <w:tcW w:w="4712" w:type="dxa"/>
            <w:shd w:val="clear" w:color="auto" w:fill="D9D9D9" w:themeFill="background1" w:themeFillShade="D9"/>
          </w:tcPr>
          <w:p w14:paraId="543F8871" w14:textId="77777777" w:rsidR="006A3BE2" w:rsidRDefault="006A3BE2" w:rsidP="004A4E1B">
            <w:pPr>
              <w:rPr>
                <w:szCs w:val="24"/>
              </w:rPr>
            </w:pPr>
          </w:p>
        </w:tc>
        <w:tc>
          <w:tcPr>
            <w:tcW w:w="1417" w:type="dxa"/>
            <w:shd w:val="clear" w:color="auto" w:fill="D9D9D9" w:themeFill="background1" w:themeFillShade="D9"/>
          </w:tcPr>
          <w:p w14:paraId="246247AC" w14:textId="77777777" w:rsidR="006A3BE2" w:rsidRDefault="006A3BE2" w:rsidP="004A4E1B">
            <w:pPr>
              <w:rPr>
                <w:szCs w:val="24"/>
              </w:rPr>
            </w:pPr>
          </w:p>
        </w:tc>
        <w:tc>
          <w:tcPr>
            <w:tcW w:w="2764" w:type="dxa"/>
            <w:shd w:val="clear" w:color="auto" w:fill="D9D9D9" w:themeFill="background1" w:themeFillShade="D9"/>
          </w:tcPr>
          <w:p w14:paraId="6964452F" w14:textId="77777777" w:rsidR="006A3BE2" w:rsidRDefault="006A3BE2" w:rsidP="004A4E1B">
            <w:pPr>
              <w:rPr>
                <w:szCs w:val="24"/>
              </w:rPr>
            </w:pPr>
          </w:p>
        </w:tc>
        <w:tc>
          <w:tcPr>
            <w:tcW w:w="1324" w:type="dxa"/>
            <w:shd w:val="clear" w:color="auto" w:fill="D9D9D9" w:themeFill="background1" w:themeFillShade="D9"/>
          </w:tcPr>
          <w:p w14:paraId="46BF02A7" w14:textId="77777777" w:rsidR="006A3BE2" w:rsidRDefault="006A3BE2" w:rsidP="004A4E1B">
            <w:pPr>
              <w:rPr>
                <w:szCs w:val="24"/>
              </w:rPr>
            </w:pPr>
          </w:p>
        </w:tc>
        <w:tc>
          <w:tcPr>
            <w:tcW w:w="2364" w:type="dxa"/>
            <w:shd w:val="clear" w:color="auto" w:fill="D9D9D9" w:themeFill="background1" w:themeFillShade="D9"/>
          </w:tcPr>
          <w:p w14:paraId="28D58DB2" w14:textId="77777777" w:rsidR="006A3BE2" w:rsidRDefault="006A3BE2" w:rsidP="004A4E1B">
            <w:pPr>
              <w:rPr>
                <w:szCs w:val="24"/>
              </w:rPr>
            </w:pPr>
          </w:p>
        </w:tc>
        <w:tc>
          <w:tcPr>
            <w:tcW w:w="1377" w:type="dxa"/>
            <w:shd w:val="clear" w:color="auto" w:fill="D9D9D9" w:themeFill="background1" w:themeFillShade="D9"/>
          </w:tcPr>
          <w:p w14:paraId="23A9B504" w14:textId="77777777" w:rsidR="006A3BE2" w:rsidRDefault="006A3BE2" w:rsidP="004A4E1B">
            <w:pPr>
              <w:rPr>
                <w:szCs w:val="24"/>
              </w:rPr>
            </w:pPr>
          </w:p>
        </w:tc>
      </w:tr>
      <w:tr w:rsidR="00B6223B" w:rsidRPr="00B6223B" w14:paraId="201CB6A2" w14:textId="77777777" w:rsidTr="00B6223B">
        <w:trPr>
          <w:trHeight w:val="510"/>
        </w:trPr>
        <w:tc>
          <w:tcPr>
            <w:tcW w:w="1711" w:type="dxa"/>
            <w:shd w:val="clear" w:color="auto" w:fill="auto"/>
          </w:tcPr>
          <w:p w14:paraId="3303FC82" w14:textId="213F7978" w:rsidR="006A3BE2" w:rsidRPr="00B6223B" w:rsidRDefault="00A21F87" w:rsidP="004A4E1B">
            <w:pPr>
              <w:rPr>
                <w:szCs w:val="24"/>
              </w:rPr>
            </w:pPr>
            <w:r w:rsidRPr="00B6223B">
              <w:rPr>
                <w:szCs w:val="24"/>
              </w:rPr>
              <w:lastRenderedPageBreak/>
              <w:t>Lancashire Energy HQ</w:t>
            </w:r>
          </w:p>
        </w:tc>
        <w:tc>
          <w:tcPr>
            <w:tcW w:w="4712" w:type="dxa"/>
            <w:shd w:val="clear" w:color="auto" w:fill="auto"/>
          </w:tcPr>
          <w:p w14:paraId="3AFAC831" w14:textId="3F90AF08" w:rsidR="006A3BE2" w:rsidRPr="00B6223B" w:rsidRDefault="00CD7D65" w:rsidP="004A4E1B">
            <w:pPr>
              <w:rPr>
                <w:szCs w:val="24"/>
              </w:rPr>
            </w:pPr>
            <w:r>
              <w:rPr>
                <w:szCs w:val="24"/>
              </w:rPr>
              <w:t>Education and training</w:t>
            </w:r>
          </w:p>
        </w:tc>
        <w:tc>
          <w:tcPr>
            <w:tcW w:w="1417" w:type="dxa"/>
            <w:shd w:val="clear" w:color="auto" w:fill="auto"/>
          </w:tcPr>
          <w:p w14:paraId="41DEC5C9" w14:textId="38C999E4" w:rsidR="006A3BE2" w:rsidRPr="00B6223B" w:rsidRDefault="00A21F87" w:rsidP="004A4E1B">
            <w:pPr>
              <w:rPr>
                <w:szCs w:val="24"/>
              </w:rPr>
            </w:pPr>
            <w:r w:rsidRPr="00B6223B">
              <w:rPr>
                <w:szCs w:val="24"/>
              </w:rPr>
              <w:t>Committee</w:t>
            </w:r>
          </w:p>
        </w:tc>
        <w:tc>
          <w:tcPr>
            <w:tcW w:w="2764" w:type="dxa"/>
            <w:shd w:val="clear" w:color="auto" w:fill="auto"/>
          </w:tcPr>
          <w:p w14:paraId="1A567C86" w14:textId="22B5A244" w:rsidR="006A3BE2" w:rsidRPr="00B6223B" w:rsidRDefault="00A21F87" w:rsidP="004A4E1B">
            <w:pPr>
              <w:rPr>
                <w:szCs w:val="24"/>
              </w:rPr>
            </w:pPr>
            <w:r w:rsidRPr="00B6223B">
              <w:rPr>
                <w:szCs w:val="24"/>
              </w:rPr>
              <w:t>Bev Robinson,</w:t>
            </w:r>
            <w:r w:rsidR="00B8021D">
              <w:rPr>
                <w:szCs w:val="24"/>
              </w:rPr>
              <w:t xml:space="preserve"> Principal and Chief Executive</w:t>
            </w:r>
          </w:p>
        </w:tc>
        <w:tc>
          <w:tcPr>
            <w:tcW w:w="1324" w:type="dxa"/>
            <w:shd w:val="clear" w:color="auto" w:fill="auto"/>
          </w:tcPr>
          <w:p w14:paraId="02F3E59E" w14:textId="4D2C5597" w:rsidR="006A3BE2" w:rsidRPr="00B6223B" w:rsidRDefault="006A3BE2" w:rsidP="004A4E1B">
            <w:pPr>
              <w:rPr>
                <w:szCs w:val="24"/>
              </w:rPr>
            </w:pPr>
            <w:r w:rsidRPr="00B6223B">
              <w:rPr>
                <w:szCs w:val="24"/>
              </w:rPr>
              <w:t>21 April 2020</w:t>
            </w:r>
          </w:p>
        </w:tc>
        <w:tc>
          <w:tcPr>
            <w:tcW w:w="2364" w:type="dxa"/>
            <w:shd w:val="clear" w:color="auto" w:fill="auto"/>
          </w:tcPr>
          <w:p w14:paraId="61BC9612" w14:textId="77777777" w:rsidR="006A3BE2" w:rsidRPr="00B6223B" w:rsidRDefault="006A3BE2" w:rsidP="004A4E1B">
            <w:pPr>
              <w:rPr>
                <w:szCs w:val="24"/>
              </w:rPr>
            </w:pPr>
          </w:p>
        </w:tc>
        <w:tc>
          <w:tcPr>
            <w:tcW w:w="1377" w:type="dxa"/>
            <w:shd w:val="clear" w:color="auto" w:fill="auto"/>
          </w:tcPr>
          <w:p w14:paraId="1AD608CF" w14:textId="77777777" w:rsidR="006A3BE2" w:rsidRPr="00B6223B" w:rsidRDefault="006A3BE2" w:rsidP="004A4E1B">
            <w:pPr>
              <w:rPr>
                <w:szCs w:val="24"/>
              </w:rPr>
            </w:pPr>
          </w:p>
        </w:tc>
      </w:tr>
      <w:tr w:rsidR="00B6223B" w:rsidRPr="00B6223B" w14:paraId="2B4F13B6" w14:textId="77777777" w:rsidTr="00B6223B">
        <w:trPr>
          <w:trHeight w:val="510"/>
        </w:trPr>
        <w:tc>
          <w:tcPr>
            <w:tcW w:w="1711" w:type="dxa"/>
            <w:shd w:val="clear" w:color="auto" w:fill="auto"/>
          </w:tcPr>
          <w:p w14:paraId="69AB3E50" w14:textId="6B839A4E" w:rsidR="006232D6" w:rsidRPr="00B6223B" w:rsidRDefault="00B6223B" w:rsidP="004A4E1B">
            <w:pPr>
              <w:rPr>
                <w:szCs w:val="24"/>
              </w:rPr>
            </w:pPr>
            <w:r w:rsidRPr="00B6223B">
              <w:rPr>
                <w:szCs w:val="24"/>
              </w:rPr>
              <w:t>United Utilities</w:t>
            </w:r>
          </w:p>
        </w:tc>
        <w:tc>
          <w:tcPr>
            <w:tcW w:w="4712" w:type="dxa"/>
            <w:shd w:val="clear" w:color="auto" w:fill="auto"/>
          </w:tcPr>
          <w:p w14:paraId="69828044" w14:textId="614AF57C" w:rsidR="006232D6" w:rsidRPr="00B6223B" w:rsidRDefault="00B6223B" w:rsidP="004A4E1B">
            <w:pPr>
              <w:rPr>
                <w:szCs w:val="24"/>
              </w:rPr>
            </w:pPr>
            <w:r w:rsidRPr="00B6223B">
              <w:rPr>
                <w:szCs w:val="24"/>
              </w:rPr>
              <w:t>Renewable energy</w:t>
            </w:r>
            <w:r w:rsidR="00D154AB">
              <w:rPr>
                <w:szCs w:val="24"/>
              </w:rPr>
              <w:t xml:space="preserve"> - </w:t>
            </w:r>
            <w:r w:rsidR="00D154AB" w:rsidRPr="00D154AB">
              <w:rPr>
                <w:szCs w:val="24"/>
              </w:rPr>
              <w:t>biogas, solar panels, hydro- and wind turbines on water and wastewater sites across the North West</w:t>
            </w:r>
            <w:r w:rsidR="00D154AB">
              <w:rPr>
                <w:szCs w:val="24"/>
              </w:rPr>
              <w:t>/Lancashire.</w:t>
            </w:r>
          </w:p>
        </w:tc>
        <w:tc>
          <w:tcPr>
            <w:tcW w:w="1417" w:type="dxa"/>
            <w:shd w:val="clear" w:color="auto" w:fill="auto"/>
          </w:tcPr>
          <w:p w14:paraId="4E7F9E8C" w14:textId="56416081" w:rsidR="006232D6" w:rsidRPr="00B6223B" w:rsidRDefault="00B6223B" w:rsidP="004A4E1B">
            <w:pPr>
              <w:rPr>
                <w:szCs w:val="24"/>
              </w:rPr>
            </w:pPr>
            <w:r w:rsidRPr="00B6223B">
              <w:rPr>
                <w:szCs w:val="24"/>
              </w:rPr>
              <w:t>Committee</w:t>
            </w:r>
          </w:p>
        </w:tc>
        <w:tc>
          <w:tcPr>
            <w:tcW w:w="2764" w:type="dxa"/>
            <w:shd w:val="clear" w:color="auto" w:fill="auto"/>
          </w:tcPr>
          <w:p w14:paraId="10F245A4" w14:textId="7F7FD98A" w:rsidR="006232D6" w:rsidRPr="00B6223B" w:rsidRDefault="00D154AB" w:rsidP="004A4E1B">
            <w:pPr>
              <w:rPr>
                <w:szCs w:val="24"/>
              </w:rPr>
            </w:pPr>
            <w:r>
              <w:rPr>
                <w:szCs w:val="24"/>
              </w:rPr>
              <w:t>Chris Matthews (tbc), United Utilities</w:t>
            </w:r>
          </w:p>
        </w:tc>
        <w:tc>
          <w:tcPr>
            <w:tcW w:w="1324" w:type="dxa"/>
            <w:shd w:val="clear" w:color="auto" w:fill="auto"/>
          </w:tcPr>
          <w:p w14:paraId="396663D1" w14:textId="542DC779" w:rsidR="006232D6" w:rsidRPr="00B6223B" w:rsidRDefault="00B8021D" w:rsidP="004A4E1B">
            <w:pPr>
              <w:rPr>
                <w:szCs w:val="24"/>
              </w:rPr>
            </w:pPr>
            <w:r>
              <w:rPr>
                <w:szCs w:val="24"/>
              </w:rPr>
              <w:t>21 April 2020</w:t>
            </w:r>
          </w:p>
        </w:tc>
        <w:tc>
          <w:tcPr>
            <w:tcW w:w="2364" w:type="dxa"/>
            <w:shd w:val="clear" w:color="auto" w:fill="auto"/>
          </w:tcPr>
          <w:p w14:paraId="28102E75" w14:textId="77777777" w:rsidR="006232D6" w:rsidRPr="00B6223B" w:rsidRDefault="006232D6" w:rsidP="004A4E1B">
            <w:pPr>
              <w:rPr>
                <w:szCs w:val="24"/>
              </w:rPr>
            </w:pPr>
          </w:p>
        </w:tc>
        <w:tc>
          <w:tcPr>
            <w:tcW w:w="1377" w:type="dxa"/>
            <w:shd w:val="clear" w:color="auto" w:fill="auto"/>
          </w:tcPr>
          <w:p w14:paraId="0FD2F6B4" w14:textId="77777777" w:rsidR="006232D6" w:rsidRPr="00B6223B" w:rsidRDefault="006232D6" w:rsidP="004A4E1B">
            <w:pPr>
              <w:rPr>
                <w:szCs w:val="24"/>
              </w:rPr>
            </w:pPr>
          </w:p>
        </w:tc>
      </w:tr>
      <w:tr w:rsidR="00D05245" w14:paraId="61D3DA75" w14:textId="77777777" w:rsidTr="00B6223B">
        <w:trPr>
          <w:trHeight w:val="510"/>
        </w:trPr>
        <w:tc>
          <w:tcPr>
            <w:tcW w:w="1711"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4712" w:type="dxa"/>
            <w:shd w:val="clear" w:color="auto" w:fill="D9D9D9" w:themeFill="background1" w:themeFillShade="D9"/>
          </w:tcPr>
          <w:p w14:paraId="15CA3F8A" w14:textId="77777777" w:rsidR="008D7A97" w:rsidRDefault="008D7A97" w:rsidP="004A4E1B">
            <w:pPr>
              <w:rPr>
                <w:szCs w:val="24"/>
              </w:rPr>
            </w:pPr>
          </w:p>
        </w:tc>
        <w:tc>
          <w:tcPr>
            <w:tcW w:w="1417"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324" w:type="dxa"/>
            <w:shd w:val="clear" w:color="auto" w:fill="D9D9D9" w:themeFill="background1" w:themeFillShade="D9"/>
          </w:tcPr>
          <w:p w14:paraId="6EABC5DD" w14:textId="77777777" w:rsidR="008D7A97" w:rsidRDefault="008D7A97" w:rsidP="004A4E1B">
            <w:pPr>
              <w:rPr>
                <w:szCs w:val="24"/>
              </w:rPr>
            </w:pPr>
          </w:p>
        </w:tc>
        <w:tc>
          <w:tcPr>
            <w:tcW w:w="2364" w:type="dxa"/>
            <w:shd w:val="clear" w:color="auto" w:fill="D9D9D9" w:themeFill="background1" w:themeFillShade="D9"/>
          </w:tcPr>
          <w:p w14:paraId="4ED29317" w14:textId="77777777" w:rsidR="008D7A97" w:rsidRDefault="008D7A97" w:rsidP="004A4E1B">
            <w:pPr>
              <w:rPr>
                <w:szCs w:val="24"/>
              </w:rPr>
            </w:pPr>
          </w:p>
        </w:tc>
        <w:tc>
          <w:tcPr>
            <w:tcW w:w="1377"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B6223B">
        <w:trPr>
          <w:trHeight w:val="510"/>
        </w:trPr>
        <w:tc>
          <w:tcPr>
            <w:tcW w:w="1711" w:type="dxa"/>
          </w:tcPr>
          <w:p w14:paraId="639A4FC4" w14:textId="38ABD061" w:rsidR="008D7A97" w:rsidRPr="00030E5F" w:rsidRDefault="001A4534" w:rsidP="004A4E1B">
            <w:pPr>
              <w:rPr>
                <w:szCs w:val="24"/>
              </w:rPr>
            </w:pPr>
            <w:r>
              <w:t>Strengthening flood risk management</w:t>
            </w:r>
            <w:r w:rsidR="003F01DF" w:rsidRPr="00030E5F">
              <w:t xml:space="preserve"> and preparedness in Lancashire</w:t>
            </w:r>
          </w:p>
        </w:tc>
        <w:tc>
          <w:tcPr>
            <w:tcW w:w="4712" w:type="dxa"/>
          </w:tcPr>
          <w:p w14:paraId="5BCC88B0" w14:textId="74D299F2" w:rsidR="003F01DF" w:rsidRPr="00030E5F" w:rsidRDefault="00B8021D" w:rsidP="003F01DF">
            <w:pPr>
              <w:snapToGrid w:val="0"/>
              <w:rPr>
                <w:rFonts w:eastAsia="Times New Roman"/>
              </w:rPr>
            </w:pPr>
            <w:r>
              <w:rPr>
                <w:rFonts w:eastAsia="Times New Roman"/>
              </w:rPr>
              <w:t>T</w:t>
            </w:r>
            <w:r w:rsidR="003F01DF" w:rsidRPr="00030E5F">
              <w:rPr>
                <w:rFonts w:eastAsia="Times New Roman"/>
              </w:rPr>
              <w: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t>- understand what we can do together to reduce flood risk.</w:t>
            </w:r>
          </w:p>
          <w:p w14:paraId="5766BFB6" w14:textId="77777777" w:rsidR="008D7A97" w:rsidRDefault="008D7A97" w:rsidP="004A4E1B">
            <w:pPr>
              <w:rPr>
                <w:szCs w:val="24"/>
              </w:rPr>
            </w:pPr>
          </w:p>
          <w:p w14:paraId="69052310" w14:textId="77777777" w:rsidR="00117FA1" w:rsidRDefault="00117FA1" w:rsidP="004A4E1B">
            <w:pPr>
              <w:rPr>
                <w:szCs w:val="24"/>
              </w:rPr>
            </w:pPr>
          </w:p>
          <w:p w14:paraId="11B241C8" w14:textId="77777777" w:rsidR="00117FA1" w:rsidRDefault="00117FA1" w:rsidP="004A4E1B">
            <w:pPr>
              <w:rPr>
                <w:szCs w:val="24"/>
              </w:rPr>
            </w:pPr>
          </w:p>
          <w:p w14:paraId="31F303A5" w14:textId="051F0292" w:rsidR="00117FA1" w:rsidRPr="00030E5F" w:rsidRDefault="00117FA1" w:rsidP="004A4E1B">
            <w:pPr>
              <w:rPr>
                <w:szCs w:val="24"/>
              </w:rPr>
            </w:pPr>
          </w:p>
        </w:tc>
        <w:tc>
          <w:tcPr>
            <w:tcW w:w="1417" w:type="dxa"/>
          </w:tcPr>
          <w:p w14:paraId="52DFAAEE" w14:textId="4A58BAE4" w:rsidR="008D7A97" w:rsidRPr="00030E5F" w:rsidRDefault="003F01DF" w:rsidP="004A4E1B">
            <w:pPr>
              <w:rPr>
                <w:szCs w:val="24"/>
              </w:rPr>
            </w:pPr>
            <w:r w:rsidRPr="00030E5F">
              <w:rPr>
                <w:szCs w:val="24"/>
              </w:rPr>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324" w:type="dxa"/>
          </w:tcPr>
          <w:p w14:paraId="384C1FB0" w14:textId="5C1175BB" w:rsidR="008D7A97" w:rsidRPr="00030E5F" w:rsidRDefault="004D3145" w:rsidP="004A4E1B">
            <w:pPr>
              <w:rPr>
                <w:szCs w:val="24"/>
              </w:rPr>
            </w:pPr>
            <w:r>
              <w:rPr>
                <w:szCs w:val="24"/>
              </w:rPr>
              <w:t xml:space="preserve">Task and finish group report presented </w:t>
            </w:r>
            <w:r w:rsidRPr="00B6223B">
              <w:rPr>
                <w:szCs w:val="24"/>
              </w:rPr>
              <w:t xml:space="preserve">at </w:t>
            </w:r>
            <w:r w:rsidR="00B6223B" w:rsidRPr="00B6223B">
              <w:rPr>
                <w:szCs w:val="24"/>
              </w:rPr>
              <w:t>26 Novem</w:t>
            </w:r>
            <w:r w:rsidRPr="00B6223B">
              <w:rPr>
                <w:szCs w:val="24"/>
              </w:rPr>
              <w:t>ber 2019 meeting</w:t>
            </w:r>
          </w:p>
        </w:tc>
        <w:tc>
          <w:tcPr>
            <w:tcW w:w="2364" w:type="dxa"/>
          </w:tcPr>
          <w:p w14:paraId="5B6871E9" w14:textId="77777777" w:rsidR="008D7A97" w:rsidRPr="00030E5F" w:rsidRDefault="008D7A97" w:rsidP="004A4E1B">
            <w:pPr>
              <w:rPr>
                <w:szCs w:val="24"/>
              </w:rPr>
            </w:pPr>
          </w:p>
        </w:tc>
        <w:tc>
          <w:tcPr>
            <w:tcW w:w="1377" w:type="dxa"/>
          </w:tcPr>
          <w:p w14:paraId="50E6E2B7" w14:textId="77777777" w:rsidR="008D7A97" w:rsidRPr="00030E5F" w:rsidRDefault="008D7A97" w:rsidP="004A4E1B">
            <w:pPr>
              <w:rPr>
                <w:szCs w:val="24"/>
              </w:rPr>
            </w:pPr>
          </w:p>
        </w:tc>
      </w:tr>
      <w:tr w:rsidR="00D05245" w14:paraId="3F48D38A" w14:textId="77777777" w:rsidTr="00B6223B">
        <w:trPr>
          <w:trHeight w:val="343"/>
        </w:trPr>
        <w:tc>
          <w:tcPr>
            <w:tcW w:w="1711" w:type="dxa"/>
            <w:shd w:val="clear" w:color="auto" w:fill="D9D9D9" w:themeFill="background1" w:themeFillShade="D9"/>
          </w:tcPr>
          <w:p w14:paraId="644F45FA" w14:textId="67E81C3D" w:rsidR="008D7A97" w:rsidRDefault="008D7A97" w:rsidP="004A4E1B">
            <w:pPr>
              <w:rPr>
                <w:szCs w:val="24"/>
              </w:rPr>
            </w:pPr>
            <w:r>
              <w:rPr>
                <w:szCs w:val="24"/>
              </w:rPr>
              <w:lastRenderedPageBreak/>
              <w:t>Rapporteurs</w:t>
            </w:r>
          </w:p>
        </w:tc>
        <w:tc>
          <w:tcPr>
            <w:tcW w:w="4712" w:type="dxa"/>
            <w:shd w:val="clear" w:color="auto" w:fill="D9D9D9" w:themeFill="background1" w:themeFillShade="D9"/>
          </w:tcPr>
          <w:p w14:paraId="503C6A5A" w14:textId="77777777" w:rsidR="008D7A97" w:rsidRDefault="008D7A97" w:rsidP="004A4E1B">
            <w:pPr>
              <w:rPr>
                <w:szCs w:val="24"/>
              </w:rPr>
            </w:pPr>
          </w:p>
        </w:tc>
        <w:tc>
          <w:tcPr>
            <w:tcW w:w="1417"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324" w:type="dxa"/>
            <w:shd w:val="clear" w:color="auto" w:fill="D9D9D9" w:themeFill="background1" w:themeFillShade="D9"/>
          </w:tcPr>
          <w:p w14:paraId="7C86836B" w14:textId="77777777" w:rsidR="008D7A97" w:rsidRDefault="008D7A97" w:rsidP="004A4E1B">
            <w:pPr>
              <w:rPr>
                <w:szCs w:val="24"/>
              </w:rPr>
            </w:pPr>
          </w:p>
        </w:tc>
        <w:tc>
          <w:tcPr>
            <w:tcW w:w="2364" w:type="dxa"/>
            <w:shd w:val="clear" w:color="auto" w:fill="D9D9D9" w:themeFill="background1" w:themeFillShade="D9"/>
          </w:tcPr>
          <w:p w14:paraId="4F6C9F79" w14:textId="77777777" w:rsidR="008D7A97" w:rsidRDefault="008D7A97" w:rsidP="004A4E1B">
            <w:pPr>
              <w:rPr>
                <w:szCs w:val="24"/>
              </w:rPr>
            </w:pPr>
          </w:p>
        </w:tc>
        <w:tc>
          <w:tcPr>
            <w:tcW w:w="1377" w:type="dxa"/>
            <w:shd w:val="clear" w:color="auto" w:fill="D9D9D9" w:themeFill="background1" w:themeFillShade="D9"/>
          </w:tcPr>
          <w:p w14:paraId="152ECBB0" w14:textId="77777777" w:rsidR="008D7A97" w:rsidRDefault="008D7A97" w:rsidP="004A4E1B">
            <w:pPr>
              <w:rPr>
                <w:szCs w:val="24"/>
              </w:rPr>
            </w:pPr>
          </w:p>
        </w:tc>
      </w:tr>
      <w:tr w:rsidR="00D05245" w14:paraId="58AAF689" w14:textId="77777777" w:rsidTr="00B6223B">
        <w:trPr>
          <w:trHeight w:val="510"/>
        </w:trPr>
        <w:tc>
          <w:tcPr>
            <w:tcW w:w="1711" w:type="dxa"/>
          </w:tcPr>
          <w:p w14:paraId="015A57E5" w14:textId="4EC7E433" w:rsidR="00E53C64" w:rsidRDefault="00E53C64" w:rsidP="004A4E1B">
            <w:pPr>
              <w:rPr>
                <w:szCs w:val="24"/>
              </w:rPr>
            </w:pPr>
            <w:r>
              <w:rPr>
                <w:szCs w:val="24"/>
              </w:rPr>
              <w:t>Universal Credit</w:t>
            </w:r>
          </w:p>
        </w:tc>
        <w:tc>
          <w:tcPr>
            <w:tcW w:w="4712"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417"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324" w:type="dxa"/>
          </w:tcPr>
          <w:p w14:paraId="06E782D5" w14:textId="24C4D350" w:rsidR="00E53C64" w:rsidRDefault="004D3145" w:rsidP="004A4E1B">
            <w:pPr>
              <w:rPr>
                <w:szCs w:val="24"/>
              </w:rPr>
            </w:pPr>
            <w:r>
              <w:rPr>
                <w:szCs w:val="24"/>
              </w:rPr>
              <w:t>5 March</w:t>
            </w:r>
            <w:r w:rsidR="0022012D">
              <w:rPr>
                <w:szCs w:val="24"/>
              </w:rPr>
              <w:t xml:space="preserve"> 2019</w:t>
            </w:r>
          </w:p>
        </w:tc>
        <w:tc>
          <w:tcPr>
            <w:tcW w:w="2364" w:type="dxa"/>
          </w:tcPr>
          <w:p w14:paraId="6C81C3B3" w14:textId="77777777" w:rsidR="00E53C64" w:rsidRDefault="00CB75A6" w:rsidP="004A4E1B">
            <w:pPr>
              <w:rPr>
                <w:szCs w:val="24"/>
              </w:rPr>
            </w:pPr>
            <w:r w:rsidRPr="002E1F95">
              <w:rPr>
                <w:szCs w:val="24"/>
              </w:rPr>
              <w:t xml:space="preserve">Report circulated to Committee </w:t>
            </w:r>
            <w:r w:rsidR="0057705B">
              <w:rPr>
                <w:szCs w:val="24"/>
              </w:rPr>
              <w:t xml:space="preserve">in </w:t>
            </w:r>
            <w:r w:rsidRPr="002E1F95">
              <w:rPr>
                <w:szCs w:val="24"/>
              </w:rPr>
              <w:t>March 2019.</w:t>
            </w:r>
            <w:r w:rsidR="0057705B">
              <w:rPr>
                <w:szCs w:val="24"/>
              </w:rPr>
              <w:t xml:space="preserve"> </w:t>
            </w:r>
            <w:r w:rsidR="0057705B" w:rsidRPr="0057705B">
              <w:rPr>
                <w:szCs w:val="24"/>
              </w:rPr>
              <w:t xml:space="preserve">Invite representative from </w:t>
            </w:r>
            <w:proofErr w:type="spellStart"/>
            <w:r w:rsidR="0057705B" w:rsidRPr="0057705B">
              <w:rPr>
                <w:szCs w:val="24"/>
              </w:rPr>
              <w:t>DwP</w:t>
            </w:r>
            <w:proofErr w:type="spellEnd"/>
            <w:r w:rsidR="0057705B" w:rsidRPr="0057705B">
              <w:rPr>
                <w:szCs w:val="24"/>
              </w:rPr>
              <w:t xml:space="preserve"> to present on dealing with people in Lancashire</w:t>
            </w:r>
          </w:p>
          <w:p w14:paraId="7A92D182" w14:textId="1C405ECE" w:rsidR="0057705B" w:rsidRPr="002E1F95" w:rsidRDefault="0057705B" w:rsidP="004A4E1B">
            <w:pPr>
              <w:rPr>
                <w:szCs w:val="24"/>
              </w:rPr>
            </w:pPr>
          </w:p>
        </w:tc>
        <w:tc>
          <w:tcPr>
            <w:tcW w:w="1377" w:type="dxa"/>
          </w:tcPr>
          <w:p w14:paraId="6D7C67E7" w14:textId="316E8C9F" w:rsidR="00E53C64" w:rsidRDefault="00E53C64" w:rsidP="004A4E1B">
            <w:pPr>
              <w:rPr>
                <w:szCs w:val="24"/>
              </w:rPr>
            </w:pPr>
          </w:p>
        </w:tc>
      </w:tr>
      <w:tr w:rsidR="0057705B" w14:paraId="0AF76488" w14:textId="77777777" w:rsidTr="00B6223B">
        <w:trPr>
          <w:trHeight w:val="510"/>
        </w:trPr>
        <w:tc>
          <w:tcPr>
            <w:tcW w:w="1711" w:type="dxa"/>
          </w:tcPr>
          <w:p w14:paraId="1589A7C7" w14:textId="64AF61EE" w:rsidR="0057705B" w:rsidRDefault="00D154AB" w:rsidP="004A4E1B">
            <w:pPr>
              <w:rPr>
                <w:szCs w:val="24"/>
              </w:rPr>
            </w:pPr>
            <w:r>
              <w:rPr>
                <w:szCs w:val="24"/>
              </w:rPr>
              <w:t xml:space="preserve">Low Carbon and the </w:t>
            </w:r>
            <w:r w:rsidR="0057705B">
              <w:rPr>
                <w:szCs w:val="24"/>
              </w:rPr>
              <w:t>Lancashire Energy Strategy</w:t>
            </w:r>
          </w:p>
        </w:tc>
        <w:tc>
          <w:tcPr>
            <w:tcW w:w="4712" w:type="dxa"/>
          </w:tcPr>
          <w:p w14:paraId="5A403337" w14:textId="70900B45" w:rsidR="0057705B" w:rsidRDefault="0057705B" w:rsidP="003F01DF">
            <w:r>
              <w:t>To determine how the Lancashire Energy Strategy can be progressed.</w:t>
            </w:r>
          </w:p>
          <w:p w14:paraId="610D5A77" w14:textId="58545F92" w:rsidR="006232D6" w:rsidRDefault="006232D6" w:rsidP="003F01DF"/>
          <w:p w14:paraId="17F1A52E" w14:textId="77777777" w:rsidR="001D741C" w:rsidRDefault="001D741C" w:rsidP="003F01DF">
            <w:pPr>
              <w:rPr>
                <w:color w:val="FF0000"/>
              </w:rPr>
            </w:pPr>
          </w:p>
          <w:p w14:paraId="2CA915EF" w14:textId="77777777" w:rsidR="001D741C" w:rsidRDefault="001D741C" w:rsidP="003F01DF">
            <w:pPr>
              <w:rPr>
                <w:color w:val="FF0000"/>
              </w:rPr>
            </w:pPr>
          </w:p>
          <w:p w14:paraId="37E343CC" w14:textId="2C5AA643" w:rsidR="006232D6" w:rsidRPr="00D9626B" w:rsidRDefault="006232D6" w:rsidP="003F01DF">
            <w:r w:rsidRPr="00D9626B">
              <w:t>Low carbon technology and legislation</w:t>
            </w:r>
          </w:p>
          <w:p w14:paraId="5CF64C57" w14:textId="493D9314" w:rsidR="0057705B" w:rsidRPr="003F01DF" w:rsidRDefault="0057705B" w:rsidP="003F01DF">
            <w:pPr>
              <w:rPr>
                <w:szCs w:val="24"/>
              </w:rPr>
            </w:pPr>
          </w:p>
        </w:tc>
        <w:tc>
          <w:tcPr>
            <w:tcW w:w="1417" w:type="dxa"/>
          </w:tcPr>
          <w:p w14:paraId="6FDB97A5" w14:textId="2DE97A44" w:rsidR="0057705B" w:rsidRDefault="0057705B" w:rsidP="004A4E1B">
            <w:pPr>
              <w:rPr>
                <w:szCs w:val="24"/>
              </w:rPr>
            </w:pPr>
            <w:r>
              <w:rPr>
                <w:szCs w:val="24"/>
              </w:rPr>
              <w:t>Rapporteur (CC E Nash)</w:t>
            </w:r>
          </w:p>
        </w:tc>
        <w:tc>
          <w:tcPr>
            <w:tcW w:w="2764" w:type="dxa"/>
          </w:tcPr>
          <w:p w14:paraId="37A01F1A" w14:textId="77777777" w:rsidR="0057705B" w:rsidRDefault="0057705B" w:rsidP="004A4E1B">
            <w:pPr>
              <w:rPr>
                <w:rFonts w:cs="Arial"/>
                <w:iCs/>
              </w:rPr>
            </w:pPr>
            <w:r>
              <w:rPr>
                <w:rFonts w:cs="Arial"/>
                <w:iCs/>
              </w:rPr>
              <w:t>Andy Walker, Economic Development Service, LCC and Electricity North West</w:t>
            </w:r>
          </w:p>
          <w:p w14:paraId="4513282B" w14:textId="77777777" w:rsidR="006232D6" w:rsidRDefault="006232D6" w:rsidP="004A4E1B">
            <w:pPr>
              <w:rPr>
                <w:rFonts w:cs="Arial"/>
                <w:iCs/>
              </w:rPr>
            </w:pPr>
          </w:p>
          <w:p w14:paraId="56558050" w14:textId="263DC3EC" w:rsidR="006232D6" w:rsidRDefault="006232D6" w:rsidP="004A4E1B">
            <w:pPr>
              <w:rPr>
                <w:rFonts w:cs="Arial"/>
                <w:iCs/>
              </w:rPr>
            </w:pPr>
            <w:r w:rsidRPr="00D9626B">
              <w:rPr>
                <w:rFonts w:cs="Arial"/>
                <w:iCs/>
              </w:rPr>
              <w:t>tbc</w:t>
            </w:r>
          </w:p>
        </w:tc>
        <w:tc>
          <w:tcPr>
            <w:tcW w:w="1324" w:type="dxa"/>
          </w:tcPr>
          <w:p w14:paraId="18FEFFF8" w14:textId="77777777" w:rsidR="0057705B" w:rsidRDefault="0057705B" w:rsidP="004A4E1B">
            <w:pPr>
              <w:rPr>
                <w:szCs w:val="24"/>
              </w:rPr>
            </w:pPr>
            <w:r>
              <w:rPr>
                <w:szCs w:val="24"/>
              </w:rPr>
              <w:t>16 July 2019</w:t>
            </w:r>
          </w:p>
          <w:p w14:paraId="0692B233" w14:textId="77777777" w:rsidR="00D05929" w:rsidRDefault="00D05929" w:rsidP="004A4E1B">
            <w:pPr>
              <w:rPr>
                <w:szCs w:val="24"/>
              </w:rPr>
            </w:pPr>
          </w:p>
          <w:p w14:paraId="388F0F43" w14:textId="77777777" w:rsidR="00D05929" w:rsidRDefault="00D05929" w:rsidP="004A4E1B">
            <w:pPr>
              <w:rPr>
                <w:szCs w:val="24"/>
              </w:rPr>
            </w:pPr>
          </w:p>
          <w:p w14:paraId="562C7B13" w14:textId="77777777" w:rsidR="00D05929" w:rsidRDefault="00D05929" w:rsidP="004A4E1B">
            <w:pPr>
              <w:rPr>
                <w:szCs w:val="24"/>
              </w:rPr>
            </w:pPr>
          </w:p>
          <w:p w14:paraId="29286224" w14:textId="108CE928" w:rsidR="00D05929" w:rsidRDefault="00D05929" w:rsidP="004A4E1B">
            <w:pPr>
              <w:rPr>
                <w:szCs w:val="24"/>
              </w:rPr>
            </w:pPr>
            <w:r w:rsidRPr="00D9626B">
              <w:rPr>
                <w:szCs w:val="24"/>
              </w:rPr>
              <w:t>15 October 2019</w:t>
            </w:r>
          </w:p>
        </w:tc>
        <w:tc>
          <w:tcPr>
            <w:tcW w:w="2364" w:type="dxa"/>
          </w:tcPr>
          <w:p w14:paraId="0D49DA32" w14:textId="2A920A87" w:rsidR="0057705B" w:rsidRPr="002E1F95" w:rsidRDefault="006232D6" w:rsidP="004A4E1B">
            <w:pPr>
              <w:rPr>
                <w:szCs w:val="24"/>
              </w:rPr>
            </w:pPr>
            <w:r>
              <w:rPr>
                <w:szCs w:val="24"/>
              </w:rPr>
              <w:t>-</w:t>
            </w:r>
          </w:p>
        </w:tc>
        <w:tc>
          <w:tcPr>
            <w:tcW w:w="1377" w:type="dxa"/>
          </w:tcPr>
          <w:p w14:paraId="790FB4BB" w14:textId="77777777" w:rsidR="0057705B" w:rsidRPr="006232D6" w:rsidRDefault="006232D6" w:rsidP="004A4E1B">
            <w:pPr>
              <w:rPr>
                <w:color w:val="70AD47" w:themeColor="accent6"/>
                <w:szCs w:val="24"/>
              </w:rPr>
            </w:pPr>
            <w:r w:rsidRPr="006232D6">
              <w:rPr>
                <w:color w:val="70AD47" w:themeColor="accent6"/>
                <w:szCs w:val="24"/>
              </w:rPr>
              <w:t>Completed</w:t>
            </w:r>
          </w:p>
          <w:p w14:paraId="012F713A" w14:textId="77777777" w:rsidR="006232D6" w:rsidRDefault="006232D6" w:rsidP="004A4E1B">
            <w:pPr>
              <w:rPr>
                <w:color w:val="FF0000"/>
                <w:szCs w:val="24"/>
              </w:rPr>
            </w:pPr>
          </w:p>
          <w:p w14:paraId="628B781C" w14:textId="77777777" w:rsidR="006232D6" w:rsidRDefault="006232D6" w:rsidP="004A4E1B">
            <w:pPr>
              <w:rPr>
                <w:color w:val="FF0000"/>
                <w:szCs w:val="24"/>
              </w:rPr>
            </w:pPr>
          </w:p>
          <w:p w14:paraId="57BC81AD" w14:textId="77777777" w:rsidR="006232D6" w:rsidRDefault="006232D6" w:rsidP="004A4E1B">
            <w:pPr>
              <w:rPr>
                <w:color w:val="FF0000"/>
                <w:szCs w:val="24"/>
              </w:rPr>
            </w:pPr>
          </w:p>
          <w:p w14:paraId="0D93D280" w14:textId="77777777" w:rsidR="006232D6" w:rsidRDefault="006232D6" w:rsidP="004A4E1B">
            <w:pPr>
              <w:rPr>
                <w:color w:val="FF0000"/>
                <w:szCs w:val="24"/>
              </w:rPr>
            </w:pPr>
          </w:p>
          <w:p w14:paraId="65445ED8" w14:textId="6D75CE4D" w:rsidR="006232D6" w:rsidRPr="0057705B" w:rsidRDefault="006232D6" w:rsidP="004A4E1B">
            <w:pPr>
              <w:rPr>
                <w:color w:val="FF0000"/>
                <w:szCs w:val="24"/>
              </w:rPr>
            </w:pPr>
            <w:r w:rsidRPr="006232D6">
              <w:rPr>
                <w:color w:val="ED7D31" w:themeColor="accent2"/>
                <w:szCs w:val="24"/>
              </w:rPr>
              <w:t>In progress</w:t>
            </w:r>
          </w:p>
        </w:tc>
      </w:tr>
      <w:tr w:rsidR="006232D6" w14:paraId="73903403" w14:textId="77777777" w:rsidTr="00B6223B">
        <w:trPr>
          <w:trHeight w:val="510"/>
        </w:trPr>
        <w:tc>
          <w:tcPr>
            <w:tcW w:w="1711" w:type="dxa"/>
            <w:shd w:val="clear" w:color="auto" w:fill="D9D9D9" w:themeFill="background1" w:themeFillShade="D9"/>
          </w:tcPr>
          <w:p w14:paraId="3AE885D8" w14:textId="682A548C" w:rsidR="006232D6" w:rsidRDefault="006232D6" w:rsidP="004A4E1B">
            <w:pPr>
              <w:rPr>
                <w:szCs w:val="24"/>
              </w:rPr>
            </w:pPr>
            <w:r>
              <w:rPr>
                <w:szCs w:val="24"/>
              </w:rPr>
              <w:t>Green Summit</w:t>
            </w:r>
          </w:p>
        </w:tc>
        <w:tc>
          <w:tcPr>
            <w:tcW w:w="4712" w:type="dxa"/>
            <w:shd w:val="clear" w:color="auto" w:fill="D9D9D9" w:themeFill="background1" w:themeFillShade="D9"/>
          </w:tcPr>
          <w:p w14:paraId="05637382" w14:textId="77777777" w:rsidR="006232D6" w:rsidRDefault="006232D6" w:rsidP="003F01DF"/>
        </w:tc>
        <w:tc>
          <w:tcPr>
            <w:tcW w:w="1417" w:type="dxa"/>
            <w:shd w:val="clear" w:color="auto" w:fill="D9D9D9" w:themeFill="background1" w:themeFillShade="D9"/>
          </w:tcPr>
          <w:p w14:paraId="5352F301" w14:textId="77777777" w:rsidR="006232D6" w:rsidRDefault="006232D6" w:rsidP="004A4E1B">
            <w:pPr>
              <w:rPr>
                <w:szCs w:val="24"/>
              </w:rPr>
            </w:pPr>
          </w:p>
        </w:tc>
        <w:tc>
          <w:tcPr>
            <w:tcW w:w="2764" w:type="dxa"/>
            <w:shd w:val="clear" w:color="auto" w:fill="D9D9D9" w:themeFill="background1" w:themeFillShade="D9"/>
          </w:tcPr>
          <w:p w14:paraId="304150B8" w14:textId="77777777" w:rsidR="006232D6" w:rsidRDefault="006232D6" w:rsidP="004A4E1B">
            <w:pPr>
              <w:rPr>
                <w:rFonts w:cs="Arial"/>
                <w:iCs/>
              </w:rPr>
            </w:pPr>
          </w:p>
        </w:tc>
        <w:tc>
          <w:tcPr>
            <w:tcW w:w="1324" w:type="dxa"/>
            <w:shd w:val="clear" w:color="auto" w:fill="D9D9D9" w:themeFill="background1" w:themeFillShade="D9"/>
          </w:tcPr>
          <w:p w14:paraId="54C27723" w14:textId="77777777" w:rsidR="006232D6" w:rsidRDefault="006232D6" w:rsidP="004A4E1B">
            <w:pPr>
              <w:rPr>
                <w:szCs w:val="24"/>
              </w:rPr>
            </w:pPr>
          </w:p>
        </w:tc>
        <w:tc>
          <w:tcPr>
            <w:tcW w:w="2364" w:type="dxa"/>
            <w:shd w:val="clear" w:color="auto" w:fill="D9D9D9" w:themeFill="background1" w:themeFillShade="D9"/>
          </w:tcPr>
          <w:p w14:paraId="436160D1" w14:textId="77777777" w:rsidR="006232D6" w:rsidRPr="002E1F95" w:rsidRDefault="006232D6" w:rsidP="004A4E1B">
            <w:pPr>
              <w:rPr>
                <w:szCs w:val="24"/>
              </w:rPr>
            </w:pPr>
          </w:p>
        </w:tc>
        <w:tc>
          <w:tcPr>
            <w:tcW w:w="1377" w:type="dxa"/>
            <w:shd w:val="clear" w:color="auto" w:fill="D9D9D9" w:themeFill="background1" w:themeFillShade="D9"/>
          </w:tcPr>
          <w:p w14:paraId="09CC095F" w14:textId="77777777" w:rsidR="006232D6" w:rsidRPr="0057705B" w:rsidRDefault="006232D6" w:rsidP="004A4E1B">
            <w:pPr>
              <w:rPr>
                <w:color w:val="FF0000"/>
                <w:szCs w:val="24"/>
              </w:rPr>
            </w:pPr>
          </w:p>
        </w:tc>
      </w:tr>
      <w:tr w:rsidR="00D05929" w:rsidRPr="00D05929" w14:paraId="42618592" w14:textId="77777777" w:rsidTr="00B6223B">
        <w:trPr>
          <w:trHeight w:val="510"/>
        </w:trPr>
        <w:tc>
          <w:tcPr>
            <w:tcW w:w="1711" w:type="dxa"/>
          </w:tcPr>
          <w:p w14:paraId="29BA58B5" w14:textId="13B87043" w:rsidR="006232D6" w:rsidRPr="00D05929" w:rsidRDefault="00D05929" w:rsidP="004A4E1B">
            <w:pPr>
              <w:rPr>
                <w:color w:val="FF0000"/>
                <w:szCs w:val="24"/>
              </w:rPr>
            </w:pPr>
            <w:r w:rsidRPr="00D05929">
              <w:rPr>
                <w:color w:val="FF0000"/>
                <w:szCs w:val="24"/>
              </w:rPr>
              <w:t>Lancashire and Cumbria Green Summit</w:t>
            </w:r>
            <w:r w:rsidR="00D154AB">
              <w:rPr>
                <w:color w:val="FF0000"/>
                <w:szCs w:val="24"/>
              </w:rPr>
              <w:t>?</w:t>
            </w:r>
          </w:p>
        </w:tc>
        <w:tc>
          <w:tcPr>
            <w:tcW w:w="4712" w:type="dxa"/>
          </w:tcPr>
          <w:p w14:paraId="6CE9D964" w14:textId="77777777" w:rsidR="006232D6" w:rsidRPr="00D05929" w:rsidRDefault="006232D6" w:rsidP="003F01DF">
            <w:pPr>
              <w:rPr>
                <w:color w:val="FF0000"/>
              </w:rPr>
            </w:pPr>
          </w:p>
        </w:tc>
        <w:tc>
          <w:tcPr>
            <w:tcW w:w="1417" w:type="dxa"/>
          </w:tcPr>
          <w:p w14:paraId="6245AFA9" w14:textId="77777777" w:rsidR="006232D6" w:rsidRPr="00D05929" w:rsidRDefault="006232D6" w:rsidP="004A4E1B">
            <w:pPr>
              <w:rPr>
                <w:color w:val="FF0000"/>
                <w:szCs w:val="24"/>
              </w:rPr>
            </w:pPr>
          </w:p>
        </w:tc>
        <w:tc>
          <w:tcPr>
            <w:tcW w:w="2764" w:type="dxa"/>
          </w:tcPr>
          <w:p w14:paraId="2670DA9C" w14:textId="77777777" w:rsidR="006232D6" w:rsidRPr="00D05929" w:rsidRDefault="006232D6" w:rsidP="004A4E1B">
            <w:pPr>
              <w:rPr>
                <w:rFonts w:cs="Arial"/>
                <w:iCs/>
                <w:color w:val="FF0000"/>
              </w:rPr>
            </w:pPr>
          </w:p>
        </w:tc>
        <w:tc>
          <w:tcPr>
            <w:tcW w:w="1324" w:type="dxa"/>
          </w:tcPr>
          <w:p w14:paraId="527F61F2" w14:textId="18CC390A" w:rsidR="006232D6" w:rsidRPr="00D05929" w:rsidRDefault="006232D6" w:rsidP="00010A81">
            <w:pPr>
              <w:rPr>
                <w:color w:val="FF0000"/>
                <w:szCs w:val="24"/>
              </w:rPr>
            </w:pPr>
            <w:r w:rsidRPr="00D05929">
              <w:rPr>
                <w:color w:val="FF0000"/>
                <w:szCs w:val="24"/>
              </w:rPr>
              <w:t>Spring 2020</w:t>
            </w:r>
            <w:r w:rsidR="00010A81">
              <w:rPr>
                <w:color w:val="FF0000"/>
                <w:szCs w:val="24"/>
              </w:rPr>
              <w:t xml:space="preserve"> (27 March?)</w:t>
            </w:r>
          </w:p>
        </w:tc>
        <w:tc>
          <w:tcPr>
            <w:tcW w:w="2364" w:type="dxa"/>
          </w:tcPr>
          <w:p w14:paraId="7BDD617E" w14:textId="77777777" w:rsidR="006232D6" w:rsidRPr="00D05929" w:rsidRDefault="006232D6" w:rsidP="004A4E1B">
            <w:pPr>
              <w:rPr>
                <w:color w:val="FF0000"/>
                <w:szCs w:val="24"/>
              </w:rPr>
            </w:pPr>
          </w:p>
        </w:tc>
        <w:tc>
          <w:tcPr>
            <w:tcW w:w="1377" w:type="dxa"/>
          </w:tcPr>
          <w:p w14:paraId="76F22425" w14:textId="77777777" w:rsidR="006232D6" w:rsidRPr="00D05929" w:rsidRDefault="006232D6" w:rsidP="004A4E1B">
            <w:pPr>
              <w:rPr>
                <w:color w:val="FF0000"/>
                <w:szCs w:val="24"/>
              </w:rPr>
            </w:pPr>
          </w:p>
        </w:tc>
      </w:tr>
    </w:tbl>
    <w:p w14:paraId="709B6B22" w14:textId="77777777" w:rsidR="00A074D5" w:rsidRDefault="00A074D5" w:rsidP="00FF3033">
      <w:pPr>
        <w:rPr>
          <w:szCs w:val="24"/>
        </w:rPr>
      </w:pPr>
    </w:p>
    <w:p w14:paraId="4C85551A" w14:textId="77777777" w:rsidR="00117FA1" w:rsidRDefault="00117FA1" w:rsidP="00FF3033">
      <w:pPr>
        <w:rPr>
          <w:b/>
          <w:szCs w:val="24"/>
        </w:rPr>
      </w:pPr>
    </w:p>
    <w:p w14:paraId="5C315F9A" w14:textId="77777777" w:rsidR="00117FA1" w:rsidRDefault="00117FA1" w:rsidP="00FF3033">
      <w:pPr>
        <w:rPr>
          <w:b/>
          <w:szCs w:val="24"/>
        </w:rPr>
      </w:pPr>
    </w:p>
    <w:p w14:paraId="1569E161" w14:textId="321EA1C9" w:rsidR="00521521" w:rsidRPr="00E53C64" w:rsidRDefault="00B8021D" w:rsidP="00FF3033">
      <w:pPr>
        <w:rPr>
          <w:b/>
          <w:szCs w:val="24"/>
        </w:rPr>
      </w:pPr>
      <w:r>
        <w:rPr>
          <w:b/>
          <w:szCs w:val="24"/>
        </w:rPr>
        <w:lastRenderedPageBreak/>
        <w:t>Other</w:t>
      </w:r>
      <w:r w:rsidR="00521521" w:rsidRPr="00E53C64">
        <w:rPr>
          <w:b/>
          <w:szCs w:val="24"/>
        </w:rPr>
        <w:t xml:space="preserve"> </w:t>
      </w:r>
      <w:r>
        <w:rPr>
          <w:b/>
          <w:szCs w:val="24"/>
        </w:rPr>
        <w:t>topics to be scheduled</w:t>
      </w:r>
      <w:r w:rsidR="00521521" w:rsidRPr="00E53C64">
        <w:rPr>
          <w:b/>
          <w:szCs w:val="24"/>
        </w:rPr>
        <w:t>:</w:t>
      </w:r>
    </w:p>
    <w:p w14:paraId="2329E688" w14:textId="4117F6E7"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4F67D9A7" w14:textId="0A575C41" w:rsidR="00D05929" w:rsidRPr="00B8021D" w:rsidRDefault="00D05929" w:rsidP="003F01DF">
      <w:pPr>
        <w:pStyle w:val="ListParagraph"/>
        <w:numPr>
          <w:ilvl w:val="0"/>
          <w:numId w:val="6"/>
        </w:numPr>
        <w:rPr>
          <w:szCs w:val="24"/>
        </w:rPr>
      </w:pPr>
      <w:r w:rsidRPr="00B8021D">
        <w:rPr>
          <w:szCs w:val="24"/>
        </w:rPr>
        <w:t>Quality of works/repairs on highways by utility companies</w:t>
      </w:r>
    </w:p>
    <w:p w14:paraId="1BDD8187" w14:textId="41F9F00D" w:rsidR="00641E26" w:rsidRPr="0057705B" w:rsidRDefault="004D3145" w:rsidP="00641E26">
      <w:pPr>
        <w:pStyle w:val="ListParagraph"/>
        <w:numPr>
          <w:ilvl w:val="0"/>
          <w:numId w:val="6"/>
        </w:numPr>
        <w:rPr>
          <w:rStyle w:val="Hyperlink"/>
          <w:color w:val="auto"/>
          <w:szCs w:val="24"/>
          <w:u w:val="none"/>
        </w:rPr>
      </w:pPr>
      <w:r w:rsidRPr="004D3145">
        <w:rPr>
          <w:szCs w:val="24"/>
        </w:rPr>
        <w:t xml:space="preserve">Natural Energy Wyre, Halite Energy, </w:t>
      </w:r>
      <w:proofErr w:type="spellStart"/>
      <w:r w:rsidRPr="004D3145">
        <w:rPr>
          <w:szCs w:val="24"/>
        </w:rPr>
        <w:t>Ecotricity</w:t>
      </w:r>
      <w:proofErr w:type="spellEnd"/>
      <w:r w:rsidR="00133D35">
        <w:rPr>
          <w:szCs w:val="24"/>
        </w:rPr>
        <w:t xml:space="preserve">, </w:t>
      </w:r>
      <w:hyperlink r:id="rId10" w:history="1">
        <w:r w:rsidR="00133D35" w:rsidRPr="00133D35">
          <w:rPr>
            <w:rStyle w:val="Hyperlink"/>
            <w:szCs w:val="24"/>
          </w:rPr>
          <w:t>Future Biogas</w:t>
        </w:r>
      </w:hyperlink>
      <w:r w:rsidR="007156DB">
        <w:rPr>
          <w:rStyle w:val="Hyperlink"/>
          <w:szCs w:val="24"/>
        </w:rPr>
        <w:t xml:space="preserve"> </w:t>
      </w:r>
      <w:r w:rsidR="007156DB" w:rsidRPr="007156DB">
        <w:rPr>
          <w:rStyle w:val="Hyperlink"/>
          <w:color w:val="auto"/>
          <w:szCs w:val="24"/>
          <w:u w:val="none"/>
        </w:rPr>
        <w:t>[Energy Summit</w:t>
      </w:r>
      <w:r w:rsidR="00AE7E3A">
        <w:rPr>
          <w:rStyle w:val="Hyperlink"/>
          <w:color w:val="auto"/>
          <w:szCs w:val="24"/>
          <w:u w:val="none"/>
        </w:rPr>
        <w:t xml:space="preserve"> March 2020</w:t>
      </w:r>
      <w:r w:rsidR="007156DB" w:rsidRPr="007156DB">
        <w:rPr>
          <w:rStyle w:val="Hyperlink"/>
          <w:color w:val="auto"/>
          <w:szCs w:val="24"/>
          <w:u w:val="none"/>
        </w:rPr>
        <w:t>]</w:t>
      </w:r>
    </w:p>
    <w:p w14:paraId="2164AF7D" w14:textId="4596AC82" w:rsidR="004878DE" w:rsidRDefault="004878DE" w:rsidP="00641E26">
      <w:pPr>
        <w:pStyle w:val="ListParagraph"/>
        <w:numPr>
          <w:ilvl w:val="0"/>
          <w:numId w:val="6"/>
        </w:numPr>
        <w:rPr>
          <w:rStyle w:val="Hyperlink"/>
          <w:color w:val="auto"/>
          <w:szCs w:val="24"/>
          <w:u w:val="none"/>
        </w:rPr>
      </w:pPr>
      <w:r>
        <w:rPr>
          <w:rStyle w:val="Hyperlink"/>
          <w:color w:val="auto"/>
          <w:szCs w:val="24"/>
          <w:u w:val="none"/>
        </w:rPr>
        <w:t>Follow the council pound (Rachel Tanner Head of Procurement)</w:t>
      </w:r>
    </w:p>
    <w:p w14:paraId="4064D70F" w14:textId="0056A93C" w:rsidR="00C04005" w:rsidRPr="00B10FD9" w:rsidRDefault="00C04005" w:rsidP="00641E26">
      <w:pPr>
        <w:pStyle w:val="ListParagraph"/>
        <w:numPr>
          <w:ilvl w:val="0"/>
          <w:numId w:val="6"/>
        </w:numPr>
        <w:rPr>
          <w:szCs w:val="24"/>
        </w:rPr>
      </w:pPr>
      <w:r>
        <w:rPr>
          <w:rStyle w:val="Hyperlink"/>
          <w:color w:val="auto"/>
          <w:szCs w:val="24"/>
          <w:u w:val="none"/>
        </w:rPr>
        <w:t>HS2</w:t>
      </w:r>
    </w:p>
    <w:sectPr w:rsidR="00C04005" w:rsidRPr="00B10FD9" w:rsidSect="005842E9">
      <w:headerReference w:type="default" r:id="rId11"/>
      <w:footerReference w:type="default" r:id="rId1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76EAC"/>
    <w:multiLevelType w:val="hybridMultilevel"/>
    <w:tmpl w:val="0B9000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1070F"/>
    <w:multiLevelType w:val="hybridMultilevel"/>
    <w:tmpl w:val="915A93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410714"/>
    <w:multiLevelType w:val="hybridMultilevel"/>
    <w:tmpl w:val="FEEC5C5A"/>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10"/>
  </w:num>
  <w:num w:numId="9">
    <w:abstractNumId w:val="1"/>
  </w:num>
  <w:num w:numId="10">
    <w:abstractNumId w:val="1"/>
  </w:num>
  <w:num w:numId="11">
    <w:abstractNumId w:val="6"/>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0A81"/>
    <w:rsid w:val="00020801"/>
    <w:rsid w:val="00030E5F"/>
    <w:rsid w:val="00093A16"/>
    <w:rsid w:val="000B436A"/>
    <w:rsid w:val="000C4B64"/>
    <w:rsid w:val="000D5685"/>
    <w:rsid w:val="000E7738"/>
    <w:rsid w:val="00111A57"/>
    <w:rsid w:val="00117FA1"/>
    <w:rsid w:val="0012008E"/>
    <w:rsid w:val="0013341F"/>
    <w:rsid w:val="00133D35"/>
    <w:rsid w:val="00163DC6"/>
    <w:rsid w:val="001A30BB"/>
    <w:rsid w:val="001A4534"/>
    <w:rsid w:val="001B0FA9"/>
    <w:rsid w:val="001D741C"/>
    <w:rsid w:val="001E0917"/>
    <w:rsid w:val="002025AE"/>
    <w:rsid w:val="0022012D"/>
    <w:rsid w:val="00263A74"/>
    <w:rsid w:val="00286367"/>
    <w:rsid w:val="002B1D6A"/>
    <w:rsid w:val="002B57C5"/>
    <w:rsid w:val="002B6339"/>
    <w:rsid w:val="002E1F95"/>
    <w:rsid w:val="002F7473"/>
    <w:rsid w:val="00330248"/>
    <w:rsid w:val="003573DE"/>
    <w:rsid w:val="0038551B"/>
    <w:rsid w:val="003970B6"/>
    <w:rsid w:val="003D67EC"/>
    <w:rsid w:val="003F01DF"/>
    <w:rsid w:val="00422259"/>
    <w:rsid w:val="00422EC6"/>
    <w:rsid w:val="0042440E"/>
    <w:rsid w:val="004278D7"/>
    <w:rsid w:val="00445F25"/>
    <w:rsid w:val="004878DE"/>
    <w:rsid w:val="004C2F5E"/>
    <w:rsid w:val="004C4F1C"/>
    <w:rsid w:val="004D3145"/>
    <w:rsid w:val="004F065C"/>
    <w:rsid w:val="0051373F"/>
    <w:rsid w:val="00520B45"/>
    <w:rsid w:val="00521521"/>
    <w:rsid w:val="00551D55"/>
    <w:rsid w:val="00556A6B"/>
    <w:rsid w:val="00570BB1"/>
    <w:rsid w:val="0057705B"/>
    <w:rsid w:val="00582958"/>
    <w:rsid w:val="005842E9"/>
    <w:rsid w:val="00584AB1"/>
    <w:rsid w:val="00585376"/>
    <w:rsid w:val="005B1967"/>
    <w:rsid w:val="005B3002"/>
    <w:rsid w:val="005C0BD3"/>
    <w:rsid w:val="005F70B6"/>
    <w:rsid w:val="006232D6"/>
    <w:rsid w:val="00641E26"/>
    <w:rsid w:val="00642CA0"/>
    <w:rsid w:val="00666DE4"/>
    <w:rsid w:val="00673267"/>
    <w:rsid w:val="00673BED"/>
    <w:rsid w:val="006A3BE2"/>
    <w:rsid w:val="006F702A"/>
    <w:rsid w:val="007156DB"/>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36096"/>
    <w:rsid w:val="00952763"/>
    <w:rsid w:val="00957472"/>
    <w:rsid w:val="00963A8E"/>
    <w:rsid w:val="009666C9"/>
    <w:rsid w:val="00980EE0"/>
    <w:rsid w:val="009D136D"/>
    <w:rsid w:val="009E4890"/>
    <w:rsid w:val="00A074D5"/>
    <w:rsid w:val="00A10125"/>
    <w:rsid w:val="00A140C0"/>
    <w:rsid w:val="00A21829"/>
    <w:rsid w:val="00A21F87"/>
    <w:rsid w:val="00A308E3"/>
    <w:rsid w:val="00A34A26"/>
    <w:rsid w:val="00A70F80"/>
    <w:rsid w:val="00A82144"/>
    <w:rsid w:val="00AA7122"/>
    <w:rsid w:val="00AB31E0"/>
    <w:rsid w:val="00AC2DBC"/>
    <w:rsid w:val="00AE7E3A"/>
    <w:rsid w:val="00AF1A9A"/>
    <w:rsid w:val="00AF6C6A"/>
    <w:rsid w:val="00B10FD9"/>
    <w:rsid w:val="00B15642"/>
    <w:rsid w:val="00B40E68"/>
    <w:rsid w:val="00B46FA2"/>
    <w:rsid w:val="00B6223B"/>
    <w:rsid w:val="00B644E5"/>
    <w:rsid w:val="00B8021D"/>
    <w:rsid w:val="00B86F74"/>
    <w:rsid w:val="00BA63A6"/>
    <w:rsid w:val="00C00DB1"/>
    <w:rsid w:val="00C01101"/>
    <w:rsid w:val="00C04005"/>
    <w:rsid w:val="00C6466E"/>
    <w:rsid w:val="00CB75A6"/>
    <w:rsid w:val="00CC19C8"/>
    <w:rsid w:val="00CD5073"/>
    <w:rsid w:val="00CD7D65"/>
    <w:rsid w:val="00D05245"/>
    <w:rsid w:val="00D05929"/>
    <w:rsid w:val="00D154AB"/>
    <w:rsid w:val="00D45212"/>
    <w:rsid w:val="00D658CD"/>
    <w:rsid w:val="00D9626B"/>
    <w:rsid w:val="00D97F9D"/>
    <w:rsid w:val="00DB0C1A"/>
    <w:rsid w:val="00DB4B6C"/>
    <w:rsid w:val="00DC1AF7"/>
    <w:rsid w:val="00DE2BD7"/>
    <w:rsid w:val="00DE680E"/>
    <w:rsid w:val="00E00BC2"/>
    <w:rsid w:val="00E059AF"/>
    <w:rsid w:val="00E10F20"/>
    <w:rsid w:val="00E53C64"/>
    <w:rsid w:val="00E71CB6"/>
    <w:rsid w:val="00E7251A"/>
    <w:rsid w:val="00E97F6E"/>
    <w:rsid w:val="00EE1AEE"/>
    <w:rsid w:val="00F02F3F"/>
    <w:rsid w:val="00F11635"/>
    <w:rsid w:val="00F20079"/>
    <w:rsid w:val="00F73536"/>
    <w:rsid w:val="00F87420"/>
    <w:rsid w:val="00F87AC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ancashire-insight/economy/income-earnings-and-benefits/universal-cr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orces.net/services/raf/green-revolution-raf-marham-switches-renewable-power" TargetMode="External"/><Relationship Id="rId4" Type="http://schemas.openxmlformats.org/officeDocument/2006/relationships/webSettings" Target="webSettings.xml"/><Relationship Id="rId9" Type="http://schemas.openxmlformats.org/officeDocument/2006/relationships/hyperlink" Target="https://www.lancashire.gov.uk/lancashire-insight/economy/income-earnings-and-benefits/claimant-count-fig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6</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27</cp:revision>
  <cp:lastPrinted>2018-05-24T09:59:00Z</cp:lastPrinted>
  <dcterms:created xsi:type="dcterms:W3CDTF">2019-07-04T07:55:00Z</dcterms:created>
  <dcterms:modified xsi:type="dcterms:W3CDTF">2019-10-07T12:31:00Z</dcterms:modified>
</cp:coreProperties>
</file>